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FDE" w:rsidRPr="00F76FA7" w:rsidRDefault="00F73002" w:rsidP="00AF7D15">
      <w:pPr>
        <w:rPr>
          <w:rFonts w:ascii="Times New Roman" w:hAnsi="Times New Roman"/>
        </w:rPr>
      </w:pPr>
      <w:r>
        <w:rPr>
          <w:noProof/>
        </w:rPr>
        <mc:AlternateContent>
          <mc:Choice Requires="wps">
            <w:drawing>
              <wp:anchor distT="0" distB="0" distL="114300" distR="114300" simplePos="0" relativeHeight="251667456" behindDoc="0" locked="0" layoutInCell="1" allowOverlap="1" wp14:anchorId="46782E21" wp14:editId="0B8E8DD2">
                <wp:simplePos x="0" y="0"/>
                <wp:positionH relativeFrom="margin">
                  <wp:posOffset>5076968</wp:posOffset>
                </wp:positionH>
                <wp:positionV relativeFrom="paragraph">
                  <wp:posOffset>50498</wp:posOffset>
                </wp:positionV>
                <wp:extent cx="1746506" cy="1071302"/>
                <wp:effectExtent l="0" t="0" r="25400" b="146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506" cy="1071302"/>
                        </a:xfrm>
                        <a:prstGeom prst="rect">
                          <a:avLst/>
                        </a:prstGeom>
                        <a:solidFill>
                          <a:schemeClr val="accent1">
                            <a:lumMod val="40000"/>
                            <a:lumOff val="60000"/>
                          </a:schemeClr>
                        </a:solidFill>
                        <a:ln>
                          <a:solidFill>
                            <a:srgbClr val="FFFF00"/>
                          </a:solidFill>
                        </a:ln>
                        <a:extLst/>
                      </wps:spPr>
                      <wps:txbx>
                        <w:txbxContent>
                          <w:p w:rsidR="00366D4E" w:rsidRPr="00366D4E" w:rsidRDefault="00366D4E" w:rsidP="00366D4E">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366D4E" w:rsidRPr="00366D4E" w:rsidRDefault="00366D4E" w:rsidP="00366D4E">
                            <w:pPr>
                              <w:ind w:right="15"/>
                              <w:jc w:val="center"/>
                              <w:rPr>
                                <w:rFonts w:ascii="Times New Roman" w:hAnsi="Times New Roman"/>
                                <w:b/>
                                <w:bCs/>
                                <w:i/>
                                <w:iCs/>
                                <w:color w:val="1F4B15"/>
                                <w:sz w:val="20"/>
                                <w:szCs w:val="16"/>
                              </w:rPr>
                            </w:pPr>
                          </w:p>
                          <w:p w:rsidR="00366D4E" w:rsidRPr="00366D4E" w:rsidRDefault="00366D4E" w:rsidP="00366D4E">
                            <w:pPr>
                              <w:ind w:right="15"/>
                              <w:jc w:val="center"/>
                              <w:rPr>
                                <w:b/>
                                <w:sz w:val="20"/>
                                <w:szCs w:val="16"/>
                              </w:rPr>
                            </w:pPr>
                          </w:p>
                          <w:p w:rsidR="00366D4E" w:rsidRPr="00366D4E" w:rsidRDefault="00366D4E" w:rsidP="00366D4E">
                            <w:pPr>
                              <w:ind w:right="15"/>
                              <w:jc w:val="center"/>
                              <w:rPr>
                                <w:color w:val="006600"/>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82E21" id="_x0000_t202" coordsize="21600,21600" o:spt="202" path="m,l,21600r21600,l21600,xe">
                <v:stroke joinstyle="miter"/>
                <v:path gradientshapeok="t" o:connecttype="rect"/>
              </v:shapetype>
              <v:shape id="Text Box 3" o:spid="_x0000_s1026" type="#_x0000_t202" style="position:absolute;margin-left:399.75pt;margin-top:4pt;width:137.5pt;height:8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d4MgIAAGIEAAAOAAAAZHJzL2Uyb0RvYy54bWysVFFv0zAQfkfiP1h+p0m6roOo6TQ6FSGN&#10;gbTxAxzHSSwcn7HdJuXXc7bbrrA3RB4s39n+vrvv7rK6nQZF9sI6CbqixSynRGgOjdRdRb8/b9+9&#10;p8R5phumQIuKHoSjt+u3b1ajKcUcelCNsARBtCtHU9Hee1NmmeO9GJibgREaD1uwA/No2i5rLBsR&#10;fVDZPM+X2Qi2MRa4cA699+mQriN+2wruv7atE56oimJsPq42rnVYs/WKlZ1lppf8GAb7hygGJjWS&#10;nqHumWdkZ+UrqEFyCw5aP+MwZNC2kouYA2ZT5H9l89QzI2IuKI4zZ5nc/4Plj/tvlsimolgozQYs&#10;0bOYPPkIE7kK6ozGlXjpyeA1P6EbqxwzdeYB+A9HNGx6pjtxZy2MvWANRleEl9nF04TjAkg9foEG&#10;adjOQwSaWjsE6VAMguhYpcO5MiEUHihvFsvrfEkJx7Mivymu8nnkYOXpubHOfxIwkLCpqMXSR3i2&#10;f3A+hMPK05XA5kDJZiuVikZoN7FRluwZNgrjXGif0lS7AeNN/kWOX2oZdGNjJffy5EaK2LgBKRL+&#10;QaL0a17b1WfWLX4JPuC8hIdWeopiHFMJygYxk6x+qqdjpWpoDqixhdToOJi46cH+omTEJq+o+7lj&#10;VlCiPmus04disQhTEY3F9c0cDXt5Ul+eMM0RqqKekrTd+DRJO2Nl1yNTkkzDHda2lVH1EGqK6tgR&#10;2MhRm+PQhUm5tOOtl1/D+jcAAAD//wMAUEsDBBQABgAIAAAAIQA7E84P3QAAAAoBAAAPAAAAZHJz&#10;L2Rvd25yZXYueG1sTI/NTsNADITvSLzDykjc6Ia/pk2zqSokoOJG4QHcrJsEst5od9uEt8c9wc32&#10;jMbflOvJ9epEIXaeDdzOMlDEtbcdNwY+P55vFqBiQrbYeyYDPxRhXV1elFhYP/I7nXapURLCsUAD&#10;bUpDoXWsW3IYZ34gFu3gg8Mka2i0DThKuOv1XZbNtcOO5UOLAz21VH/vjs5Asht7n97C2Gy/4jbU&#10;yNNL92rM9dW0WYFKNKU/M5zxBR0qYdr7I9uoegP5cvkoVgMLqXTWs/xBDnuZ8nkOuir1/wrVLwAA&#10;AP//AwBQSwECLQAUAAYACAAAACEAtoM4kv4AAADhAQAAEwAAAAAAAAAAAAAAAAAAAAAAW0NvbnRl&#10;bnRfVHlwZXNdLnhtbFBLAQItABQABgAIAAAAIQA4/SH/1gAAAJQBAAALAAAAAAAAAAAAAAAAAC8B&#10;AABfcmVscy8ucmVsc1BLAQItABQABgAIAAAAIQDYUed4MgIAAGIEAAAOAAAAAAAAAAAAAAAAAC4C&#10;AABkcnMvZTJvRG9jLnhtbFBLAQItABQABgAIAAAAIQA7E84P3QAAAAoBAAAPAAAAAAAAAAAAAAAA&#10;AIwEAABkcnMvZG93bnJldi54bWxQSwUGAAAAAAQABADzAAAAlgUAAAAA&#10;" fillcolor="#bdd6ee [1300]" strokecolor="yellow">
                <v:textbox>
                  <w:txbxContent>
                    <w:p w:rsidR="00366D4E" w:rsidRPr="00366D4E" w:rsidRDefault="00366D4E" w:rsidP="00366D4E">
                      <w:pPr>
                        <w:ind w:right="15"/>
                        <w:jc w:val="center"/>
                        <w:rPr>
                          <w:rFonts w:ascii="Times New Roman" w:hAnsi="Times New Roman"/>
                          <w:b/>
                          <w:bCs/>
                          <w:i/>
                          <w:iCs/>
                          <w:color w:val="1F3864" w:themeColor="accent5" w:themeShade="80"/>
                          <w:sz w:val="240"/>
                          <w:szCs w:val="52"/>
                        </w:rPr>
                      </w:pPr>
                      <w:r>
                        <w:rPr>
                          <w:rFonts w:ascii="Times New Roman" w:hAnsi="Times New Roman"/>
                          <w:b/>
                          <w:bCs/>
                          <w:i/>
                          <w:iCs/>
                          <w:color w:val="1F3864" w:themeColor="accent5" w:themeShade="80"/>
                          <w:szCs w:val="4"/>
                        </w:rPr>
                        <w:br/>
                      </w:r>
                      <w:r w:rsidRPr="00366D4E">
                        <w:rPr>
                          <w:rFonts w:ascii="Times New Roman" w:hAnsi="Times New Roman"/>
                          <w:b/>
                          <w:bCs/>
                          <w:i/>
                          <w:iCs/>
                          <w:color w:val="1F3864" w:themeColor="accent5" w:themeShade="80"/>
                          <w:szCs w:val="4"/>
                        </w:rPr>
                        <w:t>Insert Logo Here</w:t>
                      </w:r>
                    </w:p>
                    <w:p w:rsidR="00366D4E" w:rsidRPr="00366D4E" w:rsidRDefault="00366D4E" w:rsidP="00366D4E">
                      <w:pPr>
                        <w:ind w:right="15"/>
                        <w:jc w:val="center"/>
                        <w:rPr>
                          <w:rFonts w:ascii="Times New Roman" w:hAnsi="Times New Roman"/>
                          <w:b/>
                          <w:bCs/>
                          <w:i/>
                          <w:iCs/>
                          <w:color w:val="1F4B15"/>
                          <w:sz w:val="20"/>
                          <w:szCs w:val="16"/>
                        </w:rPr>
                      </w:pPr>
                    </w:p>
                    <w:p w:rsidR="00366D4E" w:rsidRPr="00366D4E" w:rsidRDefault="00366D4E" w:rsidP="00366D4E">
                      <w:pPr>
                        <w:ind w:right="15"/>
                        <w:jc w:val="center"/>
                        <w:rPr>
                          <w:b/>
                          <w:sz w:val="20"/>
                          <w:szCs w:val="16"/>
                        </w:rPr>
                      </w:pPr>
                    </w:p>
                    <w:p w:rsidR="00366D4E" w:rsidRPr="00366D4E" w:rsidRDefault="00366D4E" w:rsidP="00366D4E">
                      <w:pPr>
                        <w:ind w:right="15"/>
                        <w:jc w:val="center"/>
                        <w:rPr>
                          <w:color w:val="006600"/>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p w:rsidR="00366D4E" w:rsidRPr="00366D4E" w:rsidRDefault="00366D4E" w:rsidP="00366D4E">
                      <w:pPr>
                        <w:ind w:right="15"/>
                        <w:jc w:val="center"/>
                        <w:rPr>
                          <w:sz w:val="28"/>
                        </w:rPr>
                      </w:pPr>
                    </w:p>
                  </w:txbxContent>
                </v:textbox>
                <w10:wrap anchorx="margin"/>
              </v:shape>
            </w:pict>
          </mc:Fallback>
        </mc:AlternateContent>
      </w:r>
      <w:r w:rsidR="00366D4E" w:rsidRPr="00472180">
        <w:rPr>
          <w:rFonts w:ascii="Times New Roman" w:hAnsi="Times New Roman"/>
          <w:noProof/>
          <w:sz w:val="40"/>
          <w:szCs w:val="40"/>
        </w:rPr>
        <w:drawing>
          <wp:anchor distT="0" distB="0" distL="114300" distR="114300" simplePos="0" relativeHeight="251657216" behindDoc="0" locked="0" layoutInCell="1" allowOverlap="1">
            <wp:simplePos x="0" y="0"/>
            <wp:positionH relativeFrom="column">
              <wp:posOffset>13335</wp:posOffset>
            </wp:positionH>
            <wp:positionV relativeFrom="paragraph">
              <wp:posOffset>2540</wp:posOffset>
            </wp:positionV>
            <wp:extent cx="914400" cy="1275715"/>
            <wp:effectExtent l="0" t="0" r="0" b="635"/>
            <wp:wrapSquare wrapText="bothSides"/>
            <wp:docPr id="1" name="Picture 1" descr="Q:\ARTWORK AND PIX\KEN UNGE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ARTWORK AND PIX\KEN UNGER 20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FDE" w:rsidRPr="00583100" w:rsidRDefault="00F73002" w:rsidP="00AF7D15">
      <w:pPr>
        <w:jc w:val="both"/>
        <w:rPr>
          <w:noProof/>
        </w:rPr>
      </w:pPr>
      <w:r>
        <w:rPr>
          <w:noProof/>
        </w:rPr>
        <mc:AlternateContent>
          <mc:Choice Requires="wps">
            <w:drawing>
              <wp:anchor distT="0" distB="0" distL="114300" distR="114300" simplePos="0" relativeHeight="251660288" behindDoc="0" locked="0" layoutInCell="1" allowOverlap="1">
                <wp:simplePos x="0" y="0"/>
                <wp:positionH relativeFrom="margin">
                  <wp:posOffset>927688</wp:posOffset>
                </wp:positionH>
                <wp:positionV relativeFrom="paragraph">
                  <wp:posOffset>86522</wp:posOffset>
                </wp:positionV>
                <wp:extent cx="4367283" cy="777922"/>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7283" cy="777922"/>
                        </a:xfrm>
                        <a:prstGeom prst="rect">
                          <a:avLst/>
                        </a:prstGeom>
                        <a:noFill/>
                        <a:ln>
                          <a:noFill/>
                        </a:ln>
                        <a:extLst/>
                      </wps:spPr>
                      <wps:txbx>
                        <w:txbxContent>
                          <w:p w:rsidR="00217061" w:rsidRPr="004F6670" w:rsidRDefault="00217061" w:rsidP="00F73002">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217061" w:rsidRPr="00FC3605" w:rsidRDefault="00217061" w:rsidP="00F73002">
                            <w:pPr>
                              <w:ind w:right="15"/>
                              <w:rPr>
                                <w:rFonts w:ascii="Times New Roman" w:hAnsi="Times New Roman"/>
                                <w:b/>
                                <w:bCs/>
                                <w:i/>
                                <w:iCs/>
                                <w:color w:val="1F4B15"/>
                                <w:sz w:val="16"/>
                                <w:szCs w:val="16"/>
                              </w:rPr>
                            </w:pPr>
                          </w:p>
                          <w:p w:rsidR="00217061" w:rsidRPr="00FC3605" w:rsidRDefault="00217061" w:rsidP="00F73002">
                            <w:pPr>
                              <w:ind w:right="15"/>
                              <w:rPr>
                                <w:b/>
                                <w:sz w:val="16"/>
                                <w:szCs w:val="16"/>
                              </w:rPr>
                            </w:pPr>
                          </w:p>
                          <w:p w:rsidR="00217061" w:rsidRPr="009C1483" w:rsidRDefault="00217061" w:rsidP="00F73002">
                            <w:pPr>
                              <w:ind w:right="15"/>
                              <w:rPr>
                                <w:color w:val="006600"/>
                              </w:rPr>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3.05pt;margin-top:6.8pt;width:343.9pt;height:6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q8+QEAANgDAAAOAAAAZHJzL2Uyb0RvYy54bWysU9tu2zAMfR+wfxD0vjhxsqY14hRdiw4D&#10;um5Auw9gZDkWZosapcTOvn6UnKbZ9jbsRRAvOuQ5pFbXQ9eKvSZv0JZyNplKoa3CythtKb8937+7&#10;lMIHsBW0aHUpD9rL6/XbN6veFTrHBttKk2AQ64velbIJwRVZ5lWjO/ATdNpysEbqILBJ26wi6Bm9&#10;a7N8Or3IeqTKESrtPXvvxqBcJ/y61ip8qWuvg2hLyb2FdFI6N/HM1isotgSuMerYBvxDFx0Yy0VP&#10;UHcQQOzI/AXVGUXosQ4ThV2GdW2UThyYzWz6B5unBpxOXFgc704y+f8Hqx73X0mYqpS5FBY6HtGz&#10;HoL4gIOYR3V65wtOenKcFgZ285QTU+8eUH33wuJtA3arb4iwbzRU3N0svszOno44PoJs+s9YcRnY&#10;BUxAQ01dlI7FEIzOUzqcJhNbUexczC+W+eVcCsWx5XJ5leepBBQvrx358FFjJ+KllMSTT+iwf/Ah&#10;dgPFS0osZvHetG2afmt/c3Di6OHax6eRSOx9ZBGGzZAUSyxjbIPVgZkRjuvF34EvDdJPKXperVL6&#10;HzsgLUX7ybI6V7PFIu5iMhbvlzkbdB7ZnEfAKoYqZZBivN6GcX93jsy24UrjPCzesKK1SWRfuzrO&#10;gdcnaXBc9bif53bKev2Q618AAAD//wMAUEsDBBQABgAIAAAAIQAniY4j3QAAAAoBAAAPAAAAZHJz&#10;L2Rvd25yZXYueG1sTI9BT8MwDIXvSPyHyEjcWNJ1VFtpOk0griA2QOKWNV5b0ThVk63l32O4bDc/&#10;++n5e8V6cp044RBaTxqSmQKBVHnbUq3hffd8twQRoiFrOk+o4QcDrMvrq8Lk1o/0hqdtrAWHUMiN&#10;hibGPpcyVA06E2a+R+LbwQ/ORJZDLe1gRg53nZwrlUlnWuIPjenxscHqe3t0Gj5eDl+fC/VaP7n7&#10;fvSTkuRWUuvbm2nzACLiFM9m+MNndCiZae+PZIPoWC+yhK08pBkINizTdAVi/79IQJaFvKxQ/gIA&#10;AP//AwBQSwECLQAUAAYACAAAACEAtoM4kv4AAADhAQAAEwAAAAAAAAAAAAAAAAAAAAAAW0NvbnRl&#10;bnRfVHlwZXNdLnhtbFBLAQItABQABgAIAAAAIQA4/SH/1gAAAJQBAAALAAAAAAAAAAAAAAAAAC8B&#10;AABfcmVscy8ucmVsc1BLAQItABQABgAIAAAAIQDjBqq8+QEAANgDAAAOAAAAAAAAAAAAAAAAAC4C&#10;AABkcnMvZTJvRG9jLnhtbFBLAQItABQABgAIAAAAIQAniY4j3QAAAAoBAAAPAAAAAAAAAAAAAAAA&#10;AFMEAABkcnMvZG93bnJldi54bWxQSwUGAAAAAAQABADzAAAAXQUAAAAA&#10;" filled="f" stroked="f">
                <v:textbox>
                  <w:txbxContent>
                    <w:p w:rsidR="00217061" w:rsidRPr="004F6670" w:rsidRDefault="00217061" w:rsidP="00F73002">
                      <w:pPr>
                        <w:ind w:right="15"/>
                        <w:rPr>
                          <w:rFonts w:ascii="Times New Roman" w:hAnsi="Times New Roman"/>
                          <w:b/>
                          <w:bCs/>
                          <w:i/>
                          <w:iCs/>
                          <w:color w:val="000000" w:themeColor="text1"/>
                          <w:sz w:val="52"/>
                          <w:szCs w:val="52"/>
                        </w:rPr>
                      </w:pPr>
                      <w:r>
                        <w:rPr>
                          <w:rFonts w:ascii="Times New Roman" w:hAnsi="Times New Roman"/>
                          <w:b/>
                          <w:bCs/>
                          <w:i/>
                          <w:iCs/>
                          <w:color w:val="FFFFFF" w:themeColor="background1"/>
                          <w:sz w:val="4"/>
                          <w:szCs w:val="4"/>
                        </w:rPr>
                        <w:br/>
                      </w:r>
                      <w:r w:rsidRPr="00366D4E">
                        <w:rPr>
                          <w:rFonts w:ascii="Times New Roman" w:hAnsi="Times New Roman"/>
                          <w:b/>
                          <w:bCs/>
                          <w:i/>
                          <w:iCs/>
                          <w:color w:val="1F4E79" w:themeColor="accent1" w:themeShade="80"/>
                          <w:sz w:val="2"/>
                          <w:szCs w:val="4"/>
                        </w:rPr>
                        <w:t xml:space="preserve"> </w:t>
                      </w:r>
                      <w:r w:rsidRPr="00366D4E">
                        <w:rPr>
                          <w:rFonts w:ascii="Times New Roman" w:hAnsi="Times New Roman"/>
                          <w:b/>
                          <w:bCs/>
                          <w:i/>
                          <w:iCs/>
                          <w:color w:val="1F4E79" w:themeColor="accent1" w:themeShade="80"/>
                          <w:sz w:val="48"/>
                          <w:szCs w:val="52"/>
                        </w:rPr>
                        <w:t>Year-end Tax Moves for 2018</w:t>
                      </w:r>
                    </w:p>
                    <w:p w:rsidR="00217061" w:rsidRPr="00FC3605" w:rsidRDefault="00217061" w:rsidP="00F73002">
                      <w:pPr>
                        <w:ind w:right="15"/>
                        <w:rPr>
                          <w:rFonts w:ascii="Times New Roman" w:hAnsi="Times New Roman"/>
                          <w:b/>
                          <w:bCs/>
                          <w:i/>
                          <w:iCs/>
                          <w:color w:val="1F4B15"/>
                          <w:sz w:val="16"/>
                          <w:szCs w:val="16"/>
                        </w:rPr>
                      </w:pPr>
                    </w:p>
                    <w:p w:rsidR="00217061" w:rsidRPr="00FC3605" w:rsidRDefault="00217061" w:rsidP="00F73002">
                      <w:pPr>
                        <w:ind w:right="15"/>
                        <w:rPr>
                          <w:b/>
                          <w:sz w:val="16"/>
                          <w:szCs w:val="16"/>
                        </w:rPr>
                      </w:pPr>
                    </w:p>
                    <w:p w:rsidR="00217061" w:rsidRPr="009C1483" w:rsidRDefault="00217061" w:rsidP="00F73002">
                      <w:pPr>
                        <w:ind w:right="15"/>
                        <w:rPr>
                          <w:color w:val="006600"/>
                        </w:rPr>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p w:rsidR="00217061" w:rsidRDefault="00217061" w:rsidP="00F73002">
                      <w:pPr>
                        <w:ind w:right="15"/>
                      </w:pPr>
                    </w:p>
                  </w:txbxContent>
                </v:textbox>
                <w10:wrap anchorx="margin"/>
              </v:shape>
            </w:pict>
          </mc:Fallback>
        </mc:AlternateContent>
      </w:r>
    </w:p>
    <w:p w:rsidR="005D5FDE" w:rsidRPr="00F76FA7" w:rsidRDefault="005D5FDE" w:rsidP="00AF7D15">
      <w:pPr>
        <w:jc w:val="both"/>
        <w:rPr>
          <w:rFonts w:ascii="Times New Roman" w:hAnsi="Times New Roman"/>
          <w:snapToGrid w:val="0"/>
          <w:sz w:val="16"/>
          <w:szCs w:val="16"/>
        </w:rPr>
      </w:pPr>
    </w:p>
    <w:p w:rsidR="005D5FDE" w:rsidRPr="00366D4E" w:rsidRDefault="005D5FDE" w:rsidP="00AF7D15">
      <w:pPr>
        <w:jc w:val="center"/>
        <w:rPr>
          <w:rFonts w:ascii="Times New Roman" w:hAnsi="Times New Roman"/>
          <w:b/>
          <w:i/>
          <w:sz w:val="2"/>
          <w:szCs w:val="16"/>
        </w:rPr>
      </w:pPr>
    </w:p>
    <w:p w:rsidR="00991D26" w:rsidRPr="00991D26" w:rsidRDefault="004F6670" w:rsidP="004F6670">
      <w:pPr>
        <w:pBdr>
          <w:bottom w:val="single" w:sz="12" w:space="1" w:color="1F4E79" w:themeColor="accent1" w:themeShade="80"/>
        </w:pBdr>
        <w:jc w:val="center"/>
        <w:rPr>
          <w:rFonts w:ascii="Times New Roman" w:hAnsi="Times New Roman"/>
          <w:i/>
          <w:color w:val="000000"/>
          <w:sz w:val="10"/>
          <w:szCs w:val="10"/>
        </w:rPr>
      </w:pPr>
      <w:r w:rsidRPr="00366D4E">
        <w:rPr>
          <w:rFonts w:ascii="Times New Roman" w:hAnsi="Times New Roman"/>
          <w:b/>
          <w:i/>
          <w:sz w:val="2"/>
          <w:szCs w:val="4"/>
        </w:rPr>
        <w:br/>
      </w:r>
      <w:r w:rsidRPr="00366D4E">
        <w:rPr>
          <w:rFonts w:ascii="Times New Roman" w:hAnsi="Times New Roman"/>
          <w:b/>
          <w:i/>
          <w:sz w:val="2"/>
          <w:szCs w:val="4"/>
        </w:rPr>
        <w:br/>
      </w:r>
      <w:r w:rsidR="005D5FDE" w:rsidRPr="00F76FA7">
        <w:rPr>
          <w:rFonts w:ascii="Times New Roman" w:hAnsi="Times New Roman"/>
          <w:b/>
          <w:i/>
          <w:sz w:val="16"/>
          <w:szCs w:val="16"/>
        </w:rPr>
        <w:br/>
      </w:r>
    </w:p>
    <w:p w:rsidR="00893FF4" w:rsidRPr="00035AAA" w:rsidRDefault="00F50C39" w:rsidP="00C7297D">
      <w:pPr>
        <w:shd w:val="clear" w:color="auto" w:fill="FFFFFF"/>
        <w:spacing w:after="0" w:line="240" w:lineRule="auto"/>
        <w:jc w:val="both"/>
        <w:rPr>
          <w:rFonts w:ascii="Times New Roman" w:hAnsi="Times New Roman"/>
          <w:bCs/>
          <w:iCs/>
          <w:color w:val="000000"/>
        </w:rPr>
      </w:pPr>
      <w:r w:rsidRPr="00035AAA">
        <w:rPr>
          <w:rFonts w:ascii="Times New Roman" w:hAnsi="Times New Roman"/>
          <w:bCs/>
          <w:iCs/>
          <w:noProof/>
          <w:color w:val="000000"/>
        </w:rPr>
        <w:drawing>
          <wp:anchor distT="0" distB="0" distL="114300" distR="114300" simplePos="0" relativeHeight="251655168" behindDoc="1" locked="0" layoutInCell="1" allowOverlap="1">
            <wp:simplePos x="0" y="0"/>
            <wp:positionH relativeFrom="column">
              <wp:posOffset>3686175</wp:posOffset>
            </wp:positionH>
            <wp:positionV relativeFrom="paragraph">
              <wp:posOffset>41910</wp:posOffset>
            </wp:positionV>
            <wp:extent cx="3138805" cy="2434590"/>
            <wp:effectExtent l="0" t="0" r="4445" b="3810"/>
            <wp:wrapTight wrapText="bothSides">
              <wp:wrapPolygon edited="0">
                <wp:start x="0" y="0"/>
                <wp:lineTo x="0" y="21465"/>
                <wp:lineTo x="21499" y="21465"/>
                <wp:lineTo x="2149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38805" cy="2434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F6670" w:rsidRPr="00035AAA">
        <w:rPr>
          <w:rFonts w:ascii="Times New Roman" w:hAnsi="Times New Roman"/>
          <w:bCs/>
          <w:iCs/>
          <w:color w:val="000000"/>
        </w:rPr>
        <w:t xml:space="preserve">One of our </w:t>
      </w:r>
      <w:r w:rsidR="006A2F58" w:rsidRPr="00035AAA">
        <w:rPr>
          <w:rFonts w:ascii="Times New Roman" w:hAnsi="Times New Roman"/>
          <w:bCs/>
          <w:iCs/>
          <w:color w:val="000000"/>
        </w:rPr>
        <w:t>main</w:t>
      </w:r>
      <w:r w:rsidR="004F6670" w:rsidRPr="00035AAA">
        <w:rPr>
          <w:rFonts w:ascii="Times New Roman" w:hAnsi="Times New Roman"/>
          <w:bCs/>
          <w:iCs/>
          <w:color w:val="000000"/>
        </w:rPr>
        <w:t xml:space="preserve"> goals as holistic financial advisors is to help our clients recognize tax </w:t>
      </w:r>
      <w:r w:rsidR="00015D46">
        <w:rPr>
          <w:rFonts w:ascii="Times New Roman" w:hAnsi="Times New Roman"/>
          <w:bCs/>
          <w:iCs/>
          <w:color w:val="000000"/>
        </w:rPr>
        <w:t>reduction</w:t>
      </w:r>
      <w:r w:rsidR="004F6670" w:rsidRPr="00035AAA">
        <w:rPr>
          <w:rFonts w:ascii="Times New Roman" w:hAnsi="Times New Roman"/>
          <w:bCs/>
          <w:iCs/>
          <w:color w:val="000000"/>
        </w:rPr>
        <w:t xml:space="preserve"> opportunities within their investment portfolios and overall financial planning </w:t>
      </w:r>
      <w:r w:rsidR="006A2F58" w:rsidRPr="00035AAA">
        <w:rPr>
          <w:rFonts w:ascii="Times New Roman" w:hAnsi="Times New Roman"/>
          <w:bCs/>
          <w:iCs/>
          <w:color w:val="000000"/>
        </w:rPr>
        <w:t xml:space="preserve">strategies. Staying current on the ever-changing tax environment is a key component necessary to help our clients benefit from potential tax reduction strategies. </w:t>
      </w:r>
    </w:p>
    <w:p w:rsidR="00893FF4" w:rsidRPr="00035AAA" w:rsidRDefault="00893FF4" w:rsidP="00C7297D">
      <w:pPr>
        <w:shd w:val="clear" w:color="auto" w:fill="FFFFFF"/>
        <w:spacing w:after="0" w:line="240" w:lineRule="auto"/>
        <w:jc w:val="both"/>
        <w:rPr>
          <w:rFonts w:ascii="Times New Roman" w:hAnsi="Times New Roman"/>
          <w:bCs/>
          <w:iCs/>
          <w:color w:val="000000"/>
        </w:rPr>
      </w:pPr>
    </w:p>
    <w:p w:rsidR="00893FF4" w:rsidRPr="00035AAA" w:rsidRDefault="00893FF4" w:rsidP="00C7297D">
      <w:pPr>
        <w:shd w:val="clear" w:color="auto" w:fill="FFFFFF"/>
        <w:spacing w:after="0" w:line="240" w:lineRule="auto"/>
        <w:jc w:val="both"/>
        <w:rPr>
          <w:rFonts w:ascii="Times New Roman" w:hAnsi="Times New Roman"/>
          <w:bCs/>
          <w:iCs/>
          <w:color w:val="000000"/>
        </w:rPr>
      </w:pPr>
      <w:r w:rsidRPr="00035AAA">
        <w:rPr>
          <w:rFonts w:ascii="Times New Roman" w:hAnsi="Times New Roman"/>
          <w:bCs/>
          <w:iCs/>
          <w:color w:val="000000"/>
        </w:rPr>
        <w:t>On December 22, 2017, President Trump signed into law the Tax Cuts and Jobs Act</w:t>
      </w:r>
      <w:r w:rsidR="008D41DB">
        <w:rPr>
          <w:rFonts w:ascii="Times New Roman" w:hAnsi="Times New Roman"/>
          <w:bCs/>
          <w:iCs/>
          <w:color w:val="000000"/>
        </w:rPr>
        <w:t xml:space="preserve"> (TCJA)</w:t>
      </w:r>
      <w:r w:rsidRPr="00035AAA">
        <w:rPr>
          <w:rFonts w:ascii="Times New Roman" w:hAnsi="Times New Roman"/>
          <w:bCs/>
          <w:iCs/>
          <w:color w:val="000000"/>
        </w:rPr>
        <w:t xml:space="preserve">. The act is complex and impacts numerous tax specializations, including individual, corporate, and international planning. This </w:t>
      </w:r>
      <w:r w:rsidR="00015D46">
        <w:rPr>
          <w:rFonts w:ascii="Times New Roman" w:hAnsi="Times New Roman"/>
          <w:bCs/>
          <w:iCs/>
          <w:color w:val="000000"/>
        </w:rPr>
        <w:t>report</w:t>
      </w:r>
      <w:r w:rsidRPr="00035AAA">
        <w:rPr>
          <w:rFonts w:ascii="Times New Roman" w:hAnsi="Times New Roman"/>
          <w:bCs/>
          <w:iCs/>
          <w:color w:val="000000"/>
        </w:rPr>
        <w:t xml:space="preserve"> focuses on what individual taxpayers can do to save money in 2018. Unless indicated otherwise, the act provisions discussed here take effect in 2018 and expire after 2025.</w:t>
      </w:r>
    </w:p>
    <w:p w:rsidR="00E47100" w:rsidRDefault="00893FF4" w:rsidP="00C7297D">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objective of this report is to share strategies that could be effective if considered and implemented before year-end.  </w:t>
      </w:r>
      <w:r w:rsidR="00667764" w:rsidRPr="00035AAA">
        <w:rPr>
          <w:rFonts w:ascii="Times New Roman" w:hAnsi="Times New Roman"/>
          <w:b w:val="0"/>
          <w:i w:val="0"/>
          <w:color w:val="000000"/>
        </w:rPr>
        <w:t>Please note that this report is not a substitute for using a tax professional. In addition, many states do not follow the same rules and computations as the federal income tax rules. Make sure you check with your tax preparer to see what tax rates and rules apply for your particular state.</w:t>
      </w:r>
    </w:p>
    <w:p w:rsidR="0091076E" w:rsidRPr="0091076E" w:rsidRDefault="0091076E" w:rsidP="0091076E"/>
    <w:p w:rsidR="00BB19A4" w:rsidRPr="00035AAA" w:rsidRDefault="00E47100" w:rsidP="00035AAA">
      <w:pPr>
        <w:shd w:val="clear" w:color="auto" w:fill="FFFFFF"/>
        <w:spacing w:after="0"/>
        <w:jc w:val="both"/>
        <w:rPr>
          <w:rFonts w:ascii="Times New Roman" w:hAnsi="Times New Roman"/>
          <w:bCs/>
          <w:iCs/>
          <w:color w:val="000000"/>
          <w:sz w:val="24"/>
        </w:rPr>
      </w:pPr>
      <w:r w:rsidRPr="001E2C38">
        <w:rPr>
          <w:rFonts w:ascii="Times New Roman" w:hAnsi="Times New Roman"/>
          <w:b/>
          <w:i/>
          <w:sz w:val="40"/>
          <w:szCs w:val="40"/>
          <w:shd w:val="clear" w:color="auto" w:fill="9CC2E5" w:themeFill="accent1" w:themeFillTint="99"/>
        </w:rPr>
        <w:t>New Income Tax Rates for 2018</w:t>
      </w:r>
      <w:r w:rsidRPr="001E2C38">
        <w:rPr>
          <w:rFonts w:ascii="Times New Roman" w:hAnsi="Times New Roman"/>
          <w:b/>
          <w:i/>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r>
      <w:r w:rsidRPr="00E47100">
        <w:rPr>
          <w:rFonts w:ascii="Times New Roman" w:hAnsi="Times New Roman"/>
          <w:sz w:val="40"/>
          <w:szCs w:val="40"/>
          <w:shd w:val="clear" w:color="auto" w:fill="9CC2E5" w:themeFill="accent1" w:themeFillTint="99"/>
        </w:rPr>
        <w:tab/>
        <w:t xml:space="preserve"> </w:t>
      </w:r>
      <w:r w:rsidR="00BB19A4" w:rsidRPr="00035AAA">
        <w:rPr>
          <w:rFonts w:ascii="Times New Roman" w:hAnsi="Times New Roman"/>
          <w:bCs/>
          <w:iCs/>
          <w:color w:val="000000"/>
          <w:sz w:val="24"/>
        </w:rPr>
        <w:t xml:space="preserve">The </w:t>
      </w:r>
      <w:r w:rsidR="001E2C38">
        <w:rPr>
          <w:rFonts w:ascii="Times New Roman" w:hAnsi="Times New Roman"/>
          <w:b/>
          <w:bCs/>
          <w:iCs/>
          <w:color w:val="000000"/>
          <w:sz w:val="24"/>
        </w:rPr>
        <w:t>seven</w:t>
      </w:r>
      <w:r w:rsidR="00BB19A4" w:rsidRPr="00D9744A">
        <w:rPr>
          <w:rFonts w:ascii="Times New Roman" w:hAnsi="Times New Roman"/>
          <w:b/>
          <w:bCs/>
          <w:iCs/>
          <w:color w:val="000000"/>
          <w:sz w:val="24"/>
        </w:rPr>
        <w:t xml:space="preserve"> new tax rates for 2018</w:t>
      </w:r>
      <w:r w:rsidR="00BB19A4" w:rsidRPr="00035AAA">
        <w:rPr>
          <w:rFonts w:ascii="Times New Roman" w:hAnsi="Times New Roman"/>
          <w:bCs/>
          <w:iCs/>
          <w:color w:val="000000"/>
          <w:sz w:val="24"/>
        </w:rPr>
        <w:t xml:space="preserve"> are </w:t>
      </w:r>
      <w:r w:rsidR="00BB19A4" w:rsidRPr="00D9744A">
        <w:rPr>
          <w:rFonts w:ascii="Times New Roman" w:hAnsi="Times New Roman"/>
          <w:b/>
          <w:bCs/>
          <w:iCs/>
          <w:color w:val="000000"/>
          <w:sz w:val="24"/>
        </w:rPr>
        <w:t>10%, 12%, 22%, 24%, 32%, 35%,</w:t>
      </w:r>
      <w:r w:rsidR="00BB19A4" w:rsidRPr="00035AAA">
        <w:rPr>
          <w:rFonts w:ascii="Times New Roman" w:hAnsi="Times New Roman"/>
          <w:bCs/>
          <w:iCs/>
          <w:color w:val="000000"/>
          <w:sz w:val="24"/>
        </w:rPr>
        <w:t xml:space="preserve"> and </w:t>
      </w:r>
      <w:r w:rsidR="00BB19A4" w:rsidRPr="00D9744A">
        <w:rPr>
          <w:rFonts w:ascii="Times New Roman" w:hAnsi="Times New Roman"/>
          <w:b/>
          <w:bCs/>
          <w:iCs/>
          <w:color w:val="000000"/>
          <w:sz w:val="24"/>
        </w:rPr>
        <w:t xml:space="preserve">37%. </w:t>
      </w:r>
      <w:r w:rsidR="00BB19A4" w:rsidRPr="00035AAA">
        <w:rPr>
          <w:rFonts w:ascii="Times New Roman" w:hAnsi="Times New Roman"/>
          <w:bCs/>
          <w:iCs/>
          <w:color w:val="000000"/>
          <w:sz w:val="24"/>
        </w:rPr>
        <w:t>They will phase out in eight years.</w:t>
      </w:r>
    </w:p>
    <w:p w:rsidR="00217061" w:rsidRPr="00BB19A4" w:rsidRDefault="00217061" w:rsidP="00E47100">
      <w:pPr>
        <w:rPr>
          <w:rFonts w:ascii="Roboto" w:hAnsi="Roboto"/>
          <w:color w:val="373A3C"/>
          <w:sz w:val="24"/>
          <w:szCs w:val="24"/>
          <w:shd w:val="clear" w:color="auto" w:fill="FFFFFF"/>
        </w:rPr>
      </w:pPr>
    </w:p>
    <w:tbl>
      <w:tblPr>
        <w:tblW w:w="10725" w:type="dxa"/>
        <w:tblBorders>
          <w:top w:val="single" w:sz="24" w:space="0" w:color="1F4E79" w:themeColor="accent1" w:themeShade="80"/>
          <w:left w:val="single" w:sz="24" w:space="0" w:color="1F4E79" w:themeColor="accent1" w:themeShade="80"/>
          <w:bottom w:val="single" w:sz="24" w:space="0" w:color="1F4E79" w:themeColor="accent1" w:themeShade="80"/>
          <w:right w:val="single" w:sz="24" w:space="0" w:color="1F4E79" w:themeColor="accent1" w:themeShade="80"/>
          <w:insideH w:val="single" w:sz="6" w:space="0" w:color="ECEEEF"/>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2408"/>
        <w:gridCol w:w="2250"/>
        <w:gridCol w:w="2251"/>
        <w:gridCol w:w="2631"/>
      </w:tblGrid>
      <w:tr w:rsidR="00BB19A4" w:rsidRPr="00BB19A4" w:rsidTr="00F73002">
        <w:trPr>
          <w:trHeight w:val="780"/>
        </w:trPr>
        <w:tc>
          <w:tcPr>
            <w:tcW w:w="1185"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3"/>
                <w14:shadow w14:blurRad="50800" w14:dist="38100" w14:dir="2700000" w14:sx="100000" w14:sy="100000" w14:kx="0" w14:ky="0" w14:algn="tl">
                  <w14:srgbClr w14:val="000000">
                    <w14:alpha w14:val="60000"/>
                  </w14:srgbClr>
                </w14:shadow>
              </w:rPr>
              <w:t>Tax Rate</w:t>
            </w:r>
          </w:p>
        </w:tc>
        <w:tc>
          <w:tcPr>
            <w:tcW w:w="2408"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Single</w:t>
            </w:r>
          </w:p>
        </w:tc>
        <w:tc>
          <w:tcPr>
            <w:tcW w:w="2250" w:type="dxa"/>
            <w:shd w:val="clear" w:color="auto" w:fill="2F5496" w:themeFill="accent5" w:themeFillShade="BF"/>
            <w:vAlign w:val="center"/>
            <w:hideMark/>
          </w:tcPr>
          <w:p w:rsidR="00BB19A4" w:rsidRPr="00F73002" w:rsidRDefault="00BB19A4" w:rsidP="00F73002">
            <w:pPr>
              <w:spacing w:after="0"/>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Married/Joint</w:t>
            </w: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br/>
              <w:t>&amp; Widow(</w:t>
            </w:r>
            <w:proofErr w:type="spellStart"/>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er</w:t>
            </w:r>
            <w:proofErr w:type="spellEnd"/>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w:t>
            </w:r>
          </w:p>
        </w:tc>
        <w:tc>
          <w:tcPr>
            <w:tcW w:w="2251" w:type="dxa"/>
            <w:shd w:val="clear" w:color="auto" w:fill="2F5496" w:themeFill="accent5" w:themeFillShade="BF"/>
            <w:vAlign w:val="center"/>
            <w:hideMark/>
          </w:tcPr>
          <w:p w:rsidR="00BB19A4" w:rsidRPr="00F73002" w:rsidRDefault="00BB19A4" w:rsidP="00F73002">
            <w:pPr>
              <w:spacing w:after="0"/>
              <w:ind w:left="97"/>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Married/Separate</w:t>
            </w:r>
          </w:p>
        </w:tc>
        <w:tc>
          <w:tcPr>
            <w:tcW w:w="2631" w:type="dxa"/>
            <w:shd w:val="clear" w:color="auto" w:fill="2F5496" w:themeFill="accent5" w:themeFillShade="BF"/>
            <w:vAlign w:val="center"/>
            <w:hideMark/>
          </w:tcPr>
          <w:p w:rsidR="00BB19A4" w:rsidRPr="00F73002" w:rsidRDefault="00BB19A4" w:rsidP="00F73002">
            <w:pPr>
              <w:spacing w:after="0"/>
              <w:ind w:left="186"/>
              <w:jc w:val="center"/>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pPr>
            <w:r w:rsidRPr="00F73002">
              <w:rPr>
                <w:rFonts w:asciiTheme="minorHAnsi" w:eastAsia="Times New Roman" w:hAnsiTheme="minorHAnsi"/>
                <w:b/>
                <w:bCs/>
                <w:color w:val="FFFFFF" w:themeColor="background1"/>
                <w:sz w:val="28"/>
                <w:szCs w:val="27"/>
                <w14:shadow w14:blurRad="50800" w14:dist="38100" w14:dir="2700000" w14:sx="100000" w14:sy="100000" w14:kx="0" w14:ky="0" w14:algn="tl">
                  <w14:srgbClr w14:val="000000">
                    <w14:alpha w14:val="60000"/>
                  </w14:srgbClr>
                </w14:shadow>
              </w:rPr>
              <w:t>Head of Household</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10%</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 to $19,050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 to $9,525</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 to $13,600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12%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$19,051 to $77,400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$9,526 to $38,700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$13,601 to $51,800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$38,701 to $82,500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$77,401 to $165,000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$38,701 to $82,</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$51,801 to $82,500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24%</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$165,001 to $315,000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$82,501 to $157,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$82,501 to $157,500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32%</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$315,001 to $400,000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$157,</w:t>
            </w:r>
            <w:r w:rsidR="006B0A3E">
              <w:rPr>
                <w:rFonts w:asciiTheme="minorHAnsi" w:eastAsia="Times New Roman" w:hAnsiTheme="minorHAnsi"/>
                <w:color w:val="485970"/>
                <w:sz w:val="23"/>
              </w:rPr>
              <w:t>5</w:t>
            </w:r>
            <w:r w:rsidRPr="007F7C17">
              <w:rPr>
                <w:rFonts w:asciiTheme="minorHAnsi" w:eastAsia="Times New Roman" w:hAnsiTheme="minorHAnsi"/>
                <w:color w:val="485970"/>
                <w:sz w:val="23"/>
              </w:rPr>
              <w:t>01 to $200,000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$157,501 to $200,000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35%</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$400,001 to $600,000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$200,001 to $300,000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$200,001 to $500,000</w:t>
            </w:r>
          </w:p>
        </w:tc>
      </w:tr>
      <w:tr w:rsidR="00BB19A4" w:rsidRPr="00BB19A4" w:rsidTr="00F73002">
        <w:tc>
          <w:tcPr>
            <w:tcW w:w="1185" w:type="dxa"/>
            <w:shd w:val="clear" w:color="auto" w:fill="FFFFFF"/>
            <w:hideMark/>
          </w:tcPr>
          <w:p w:rsidR="00BB19A4" w:rsidRPr="00F73002" w:rsidRDefault="00BB19A4" w:rsidP="00F73002">
            <w:pPr>
              <w:spacing w:after="0"/>
              <w:jc w:val="center"/>
              <w:rPr>
                <w:rFonts w:asciiTheme="minorHAnsi" w:eastAsia="Times New Roman" w:hAnsiTheme="minorHAnsi"/>
                <w:color w:val="002060"/>
                <w:sz w:val="23"/>
                <w:szCs w:val="23"/>
              </w:rPr>
            </w:pPr>
            <w:r w:rsidRPr="00F73002">
              <w:rPr>
                <w:rFonts w:asciiTheme="minorHAnsi" w:eastAsia="Times New Roman" w:hAnsiTheme="minorHAnsi"/>
                <w:b/>
                <w:bCs/>
                <w:color w:val="002060"/>
                <w:sz w:val="23"/>
                <w:szCs w:val="23"/>
              </w:rPr>
              <w:t>37%</w:t>
            </w:r>
          </w:p>
        </w:tc>
        <w:tc>
          <w:tcPr>
            <w:tcW w:w="2408"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c>
          <w:tcPr>
            <w:tcW w:w="2250" w:type="dxa"/>
            <w:shd w:val="clear" w:color="auto" w:fill="FFFFFF"/>
            <w:hideMark/>
          </w:tcPr>
          <w:p w:rsidR="00BB19A4" w:rsidRPr="007F7C17" w:rsidRDefault="00BB19A4" w:rsidP="00BB19A4">
            <w:pPr>
              <w:spacing w:after="0"/>
              <w:rPr>
                <w:rFonts w:asciiTheme="minorHAnsi" w:eastAsia="Times New Roman" w:hAnsiTheme="minorHAnsi"/>
                <w:color w:val="485970"/>
                <w:sz w:val="23"/>
              </w:rPr>
            </w:pPr>
            <w:r w:rsidRPr="007F7C17">
              <w:rPr>
                <w:rFonts w:asciiTheme="minorHAnsi" w:eastAsia="Times New Roman" w:hAnsiTheme="minorHAnsi"/>
                <w:color w:val="485970"/>
                <w:sz w:val="23"/>
              </w:rPr>
              <w:t>over $600,000</w:t>
            </w:r>
          </w:p>
        </w:tc>
        <w:tc>
          <w:tcPr>
            <w:tcW w:w="2251" w:type="dxa"/>
            <w:shd w:val="clear" w:color="auto" w:fill="FFFFFF"/>
            <w:hideMark/>
          </w:tcPr>
          <w:p w:rsidR="00BB19A4" w:rsidRPr="007F7C17" w:rsidRDefault="00BB19A4" w:rsidP="00217061">
            <w:pPr>
              <w:spacing w:after="0"/>
              <w:ind w:left="97"/>
              <w:rPr>
                <w:rFonts w:asciiTheme="minorHAnsi" w:eastAsia="Times New Roman" w:hAnsiTheme="minorHAnsi"/>
                <w:color w:val="485970"/>
                <w:sz w:val="23"/>
              </w:rPr>
            </w:pPr>
            <w:r w:rsidRPr="007F7C17">
              <w:rPr>
                <w:rFonts w:asciiTheme="minorHAnsi" w:eastAsia="Times New Roman" w:hAnsiTheme="minorHAnsi"/>
                <w:color w:val="485970"/>
                <w:sz w:val="23"/>
              </w:rPr>
              <w:t>over $300,000</w:t>
            </w:r>
          </w:p>
        </w:tc>
        <w:tc>
          <w:tcPr>
            <w:tcW w:w="2631" w:type="dxa"/>
            <w:shd w:val="clear" w:color="auto" w:fill="FFFFFF"/>
            <w:hideMark/>
          </w:tcPr>
          <w:p w:rsidR="00BB19A4" w:rsidRPr="007F7C17" w:rsidRDefault="00BB19A4" w:rsidP="00217061">
            <w:pPr>
              <w:spacing w:after="0"/>
              <w:ind w:left="186"/>
              <w:rPr>
                <w:rFonts w:asciiTheme="minorHAnsi" w:eastAsia="Times New Roman" w:hAnsiTheme="minorHAnsi"/>
                <w:color w:val="485970"/>
                <w:sz w:val="23"/>
              </w:rPr>
            </w:pPr>
            <w:r w:rsidRPr="007F7C17">
              <w:rPr>
                <w:rFonts w:asciiTheme="minorHAnsi" w:eastAsia="Times New Roman" w:hAnsiTheme="minorHAnsi"/>
                <w:color w:val="485970"/>
                <w:sz w:val="23"/>
              </w:rPr>
              <w:t>over $500,000</w:t>
            </w:r>
          </w:p>
        </w:tc>
      </w:tr>
    </w:tbl>
    <w:p w:rsidR="00E47100" w:rsidRDefault="00E47100" w:rsidP="00E47100">
      <w:pPr>
        <w:rPr>
          <w:sz w:val="16"/>
        </w:rPr>
      </w:pPr>
    </w:p>
    <w:p w:rsidR="00BB19A4" w:rsidRDefault="00BB19A4" w:rsidP="00E47100">
      <w:pPr>
        <w:rPr>
          <w:sz w:val="16"/>
        </w:rPr>
      </w:pPr>
    </w:p>
    <w:p w:rsidR="00456334" w:rsidRPr="00BB19A4" w:rsidRDefault="00456334" w:rsidP="00E47100">
      <w:pPr>
        <w:rPr>
          <w:sz w:val="16"/>
        </w:rPr>
      </w:pPr>
    </w:p>
    <w:p w:rsidR="006A2F58" w:rsidRPr="00F67C4D" w:rsidRDefault="006A2F58" w:rsidP="00456334">
      <w:pPr>
        <w:pStyle w:val="IntenseQuote"/>
        <w:pBdr>
          <w:bottom w:val="none" w:sz="0" w:space="0" w:color="auto"/>
        </w:pBdr>
        <w:spacing w:after="0" w:line="240" w:lineRule="auto"/>
        <w:ind w:left="0" w:right="0"/>
        <w:jc w:val="both"/>
      </w:pPr>
      <w:r>
        <w:rPr>
          <w:rFonts w:ascii="Times New Roman" w:eastAsia="Times New Roman" w:hAnsi="Times New Roman"/>
          <w:color w:val="1F4E79" w:themeColor="accent1" w:themeShade="80"/>
          <w:sz w:val="4"/>
          <w:szCs w:val="4"/>
        </w:rPr>
        <w:lastRenderedPageBreak/>
        <w:br/>
      </w:r>
      <w:r w:rsidR="008E4089" w:rsidRPr="00F67C4D">
        <w:rPr>
          <w:rFonts w:ascii="Times New Roman" w:hAnsi="Times New Roman"/>
          <w:sz w:val="40"/>
          <w:szCs w:val="40"/>
          <w:shd w:val="clear" w:color="auto" w:fill="9CC2E5" w:themeFill="accent1" w:themeFillTint="99"/>
        </w:rPr>
        <w:t>Tax Reform</w:t>
      </w:r>
      <w:r w:rsidR="00380139" w:rsidRPr="00F67C4D">
        <w:rPr>
          <w:rFonts w:ascii="Times New Roman" w:hAnsi="Times New Roman"/>
          <w:sz w:val="40"/>
          <w:szCs w:val="40"/>
          <w:shd w:val="clear" w:color="auto" w:fill="9CC2E5" w:themeFill="accent1" w:themeFillTint="99"/>
        </w:rPr>
        <w:t xml:space="preserve"> </w:t>
      </w:r>
      <w:r w:rsidR="003949C3" w:rsidRPr="00F67C4D">
        <w:rPr>
          <w:rFonts w:ascii="Times New Roman" w:hAnsi="Times New Roman"/>
          <w:sz w:val="40"/>
          <w:szCs w:val="40"/>
          <w:shd w:val="clear" w:color="auto" w:fill="9CC2E5" w:themeFill="accent1" w:themeFillTint="99"/>
        </w:rPr>
        <w:t>Update</w:t>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r w:rsidR="003949C3" w:rsidRPr="00F67C4D">
        <w:rPr>
          <w:rFonts w:ascii="Times New Roman" w:hAnsi="Times New Roman"/>
          <w:sz w:val="40"/>
          <w:szCs w:val="40"/>
          <w:shd w:val="clear" w:color="auto" w:fill="9CC2E5" w:themeFill="accent1" w:themeFillTint="99"/>
        </w:rPr>
        <w:tab/>
      </w:r>
    </w:p>
    <w:p w:rsidR="00B32576" w:rsidRPr="00035AAA" w:rsidRDefault="00F50C39"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noProof/>
          <w:sz w:val="20"/>
        </w:rPr>
        <w:drawing>
          <wp:anchor distT="0" distB="0" distL="114300" distR="114300" simplePos="0" relativeHeight="251654144" behindDoc="1" locked="0" layoutInCell="1" allowOverlap="1">
            <wp:simplePos x="0" y="0"/>
            <wp:positionH relativeFrom="column">
              <wp:posOffset>3390900</wp:posOffset>
            </wp:positionH>
            <wp:positionV relativeFrom="paragraph">
              <wp:posOffset>114300</wp:posOffset>
            </wp:positionV>
            <wp:extent cx="3435350" cy="2085975"/>
            <wp:effectExtent l="19050" t="19050" r="12700" b="28575"/>
            <wp:wrapTight wrapText="bothSides">
              <wp:wrapPolygon edited="0">
                <wp:start x="-120" y="-197"/>
                <wp:lineTo x="-120" y="21699"/>
                <wp:lineTo x="21560" y="21699"/>
                <wp:lineTo x="21560" y="-197"/>
                <wp:lineTo x="-120" y="-197"/>
              </wp:wrapPolygon>
            </wp:wrapTight>
            <wp:docPr id="4" name="Picture 4" descr="Image result for new tax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ew tax forms"/>
                    <pic:cNvPicPr>
                      <a:picLocks noChangeAspect="1" noChangeArrowheads="1"/>
                    </pic:cNvPicPr>
                  </pic:nvPicPr>
                  <pic:blipFill>
                    <a:blip r:embed="rId10" cstate="print"/>
                    <a:srcRect/>
                    <a:stretch>
                      <a:fillRect/>
                    </a:stretch>
                  </pic:blipFill>
                  <pic:spPr bwMode="auto">
                    <a:xfrm>
                      <a:off x="0" y="0"/>
                      <a:ext cx="3435350" cy="2085975"/>
                    </a:xfrm>
                    <a:prstGeom prst="rect">
                      <a:avLst/>
                    </a:prstGeom>
                    <a:noFill/>
                    <a:ln w="19050">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r w:rsidR="00E47100" w:rsidRPr="00035AAA">
        <w:rPr>
          <w:rFonts w:ascii="Times New Roman" w:hAnsi="Times New Roman"/>
          <w:b w:val="0"/>
          <w:i w:val="0"/>
          <w:color w:val="000000"/>
        </w:rPr>
        <w:t xml:space="preserve">As we enter into </w:t>
      </w:r>
      <w:r w:rsidR="004A1580" w:rsidRPr="00035AAA">
        <w:rPr>
          <w:rFonts w:ascii="Times New Roman" w:hAnsi="Times New Roman"/>
          <w:b w:val="0"/>
          <w:i w:val="0"/>
          <w:color w:val="000000"/>
        </w:rPr>
        <w:t xml:space="preserve">year-end </w:t>
      </w:r>
      <w:r w:rsidR="00E47100" w:rsidRPr="00035AAA">
        <w:rPr>
          <w:rFonts w:ascii="Times New Roman" w:hAnsi="Times New Roman"/>
          <w:b w:val="0"/>
          <w:i w:val="0"/>
          <w:color w:val="000000"/>
        </w:rPr>
        <w:t>tax pla</w:t>
      </w:r>
      <w:r w:rsidR="004A1580" w:rsidRPr="00035AAA">
        <w:rPr>
          <w:rFonts w:ascii="Times New Roman" w:hAnsi="Times New Roman"/>
          <w:b w:val="0"/>
          <w:i w:val="0"/>
          <w:color w:val="000000"/>
        </w:rPr>
        <w:t>nning</w:t>
      </w:r>
      <w:r w:rsidR="00E47100" w:rsidRPr="00035AAA">
        <w:rPr>
          <w:rFonts w:ascii="Times New Roman" w:hAnsi="Times New Roman"/>
          <w:b w:val="0"/>
          <w:i w:val="0"/>
          <w:color w:val="000000"/>
        </w:rPr>
        <w:t xml:space="preserve">, </w:t>
      </w:r>
      <w:r w:rsidR="004A1580" w:rsidRPr="00035AAA">
        <w:rPr>
          <w:rFonts w:ascii="Times New Roman" w:hAnsi="Times New Roman"/>
          <w:b w:val="0"/>
          <w:i w:val="0"/>
          <w:color w:val="000000"/>
        </w:rPr>
        <w:t>our main goal</w:t>
      </w:r>
      <w:r w:rsidR="00E47100" w:rsidRPr="00035AAA">
        <w:rPr>
          <w:rFonts w:ascii="Times New Roman" w:hAnsi="Times New Roman"/>
          <w:b w:val="0"/>
          <w:i w:val="0"/>
          <w:color w:val="000000"/>
        </w:rPr>
        <w:t xml:space="preserve"> shifts to helping clients understand the impact of the Tax Cuts and Jobs Act and </w:t>
      </w:r>
      <w:r w:rsidR="001E2C38">
        <w:rPr>
          <w:rFonts w:ascii="Times New Roman" w:hAnsi="Times New Roman"/>
          <w:b w:val="0"/>
          <w:i w:val="0"/>
          <w:color w:val="000000"/>
        </w:rPr>
        <w:t>optimizing</w:t>
      </w:r>
      <w:r w:rsidR="00E47100" w:rsidRPr="00035AAA">
        <w:rPr>
          <w:rFonts w:ascii="Times New Roman" w:hAnsi="Times New Roman"/>
          <w:b w:val="0"/>
          <w:i w:val="0"/>
          <w:color w:val="000000"/>
        </w:rPr>
        <w:t xml:space="preserve"> their tax positions. That is no small task given that there are over 130 new tax provisions.</w:t>
      </w:r>
      <w:r w:rsidR="004A1580" w:rsidRPr="00035AAA">
        <w:rPr>
          <w:rFonts w:ascii="Times New Roman" w:hAnsi="Times New Roman"/>
          <w:b w:val="0"/>
          <w:i w:val="0"/>
          <w:color w:val="000000"/>
        </w:rPr>
        <w:t xml:space="preserve"> </w:t>
      </w:r>
      <w:r w:rsidR="00B32576" w:rsidRPr="00035AAA">
        <w:rPr>
          <w:rFonts w:ascii="Times New Roman" w:hAnsi="Times New Roman"/>
          <w:b w:val="0"/>
          <w:i w:val="0"/>
          <w:color w:val="000000"/>
        </w:rPr>
        <w:t>T</w:t>
      </w:r>
      <w:r w:rsidR="004A1580" w:rsidRPr="00035AAA">
        <w:rPr>
          <w:rFonts w:ascii="Times New Roman" w:hAnsi="Times New Roman"/>
          <w:b w:val="0"/>
          <w:i w:val="0"/>
          <w:color w:val="000000"/>
        </w:rPr>
        <w:t>his report offers many suggestions</w:t>
      </w:r>
      <w:r w:rsidR="00B32576" w:rsidRPr="00035AAA">
        <w:rPr>
          <w:rFonts w:ascii="Times New Roman" w:hAnsi="Times New Roman"/>
          <w:b w:val="0"/>
          <w:i w:val="0"/>
          <w:color w:val="000000"/>
        </w:rPr>
        <w:t xml:space="preserve"> and reviews strategies like loss and gain harvesting that have been useful even before the current round of tax law changes.</w:t>
      </w:r>
      <w:r w:rsidR="00E47100" w:rsidRPr="00035AAA">
        <w:rPr>
          <w:rFonts w:ascii="Times New Roman" w:hAnsi="Times New Roman"/>
          <w:b w:val="0"/>
          <w:i w:val="0"/>
          <w:color w:val="000000"/>
        </w:rPr>
        <w:t xml:space="preserve"> </w:t>
      </w:r>
    </w:p>
    <w:p w:rsidR="00F67C4D" w:rsidRPr="00035AAA" w:rsidRDefault="00B32576"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w:t>
      </w:r>
      <w:r w:rsidR="00E47100" w:rsidRPr="00035AAA">
        <w:rPr>
          <w:rFonts w:ascii="Times New Roman" w:hAnsi="Times New Roman"/>
          <w:b w:val="0"/>
          <w:i w:val="0"/>
          <w:color w:val="000000"/>
        </w:rPr>
        <w:t>T</w:t>
      </w:r>
      <w:r w:rsidRPr="00035AAA">
        <w:rPr>
          <w:rFonts w:ascii="Times New Roman" w:hAnsi="Times New Roman"/>
          <w:b w:val="0"/>
          <w:i w:val="0"/>
          <w:color w:val="000000"/>
        </w:rPr>
        <w:t xml:space="preserve">ax </w:t>
      </w:r>
      <w:r w:rsidR="00E47100" w:rsidRPr="00035AAA">
        <w:rPr>
          <w:rFonts w:ascii="Times New Roman" w:hAnsi="Times New Roman"/>
          <w:b w:val="0"/>
          <w:i w:val="0"/>
          <w:color w:val="000000"/>
        </w:rPr>
        <w:t>C</w:t>
      </w:r>
      <w:r w:rsidRPr="00035AAA">
        <w:rPr>
          <w:rFonts w:ascii="Times New Roman" w:hAnsi="Times New Roman"/>
          <w:b w:val="0"/>
          <w:i w:val="0"/>
          <w:color w:val="000000"/>
        </w:rPr>
        <w:t xml:space="preserve">uts and Jobs </w:t>
      </w:r>
      <w:r w:rsidR="00E47100" w:rsidRPr="00035AAA">
        <w:rPr>
          <w:rFonts w:ascii="Times New Roman" w:hAnsi="Times New Roman"/>
          <w:b w:val="0"/>
          <w:i w:val="0"/>
          <w:color w:val="000000"/>
        </w:rPr>
        <w:t>A</w:t>
      </w:r>
      <w:r w:rsidRPr="00035AAA">
        <w:rPr>
          <w:rFonts w:ascii="Times New Roman" w:hAnsi="Times New Roman"/>
          <w:b w:val="0"/>
          <w:i w:val="0"/>
          <w:color w:val="000000"/>
        </w:rPr>
        <w:t xml:space="preserve">ct created some </w:t>
      </w:r>
      <w:r w:rsidR="001E2C38">
        <w:rPr>
          <w:rFonts w:ascii="Times New Roman" w:hAnsi="Times New Roman"/>
          <w:b w:val="0"/>
          <w:i w:val="0"/>
          <w:color w:val="000000"/>
        </w:rPr>
        <w:t>changes</w:t>
      </w:r>
      <w:r w:rsidRPr="00035AAA">
        <w:rPr>
          <w:rFonts w:ascii="Times New Roman" w:hAnsi="Times New Roman"/>
          <w:b w:val="0"/>
          <w:i w:val="0"/>
          <w:color w:val="000000"/>
        </w:rPr>
        <w:t xml:space="preserve"> with regards to</w:t>
      </w:r>
      <w:r w:rsidR="00E47100" w:rsidRPr="00035AAA">
        <w:rPr>
          <w:rFonts w:ascii="Times New Roman" w:hAnsi="Times New Roman"/>
          <w:b w:val="0"/>
          <w:i w:val="0"/>
          <w:color w:val="000000"/>
        </w:rPr>
        <w:t xml:space="preserve"> tax planning opportunities for individuals in 2018</w:t>
      </w:r>
      <w:r w:rsidRPr="00035AAA">
        <w:rPr>
          <w:rFonts w:ascii="Times New Roman" w:hAnsi="Times New Roman"/>
          <w:b w:val="0"/>
          <w:i w:val="0"/>
          <w:color w:val="000000"/>
        </w:rPr>
        <w:t xml:space="preserve">. </w:t>
      </w:r>
    </w:p>
    <w:p w:rsidR="00E47100" w:rsidRPr="00035AAA" w:rsidRDefault="00B32576"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Some things to consider include:</w:t>
      </w:r>
    </w:p>
    <w:p w:rsidR="00E47100" w:rsidRPr="00893FF4" w:rsidRDefault="00E47100" w:rsidP="00771AC6">
      <w:pPr>
        <w:pStyle w:val="IntenseQuote"/>
        <w:pBdr>
          <w:bottom w:val="none" w:sz="0" w:space="0" w:color="auto"/>
        </w:pBdr>
        <w:spacing w:after="0" w:line="240" w:lineRule="auto"/>
        <w:ind w:left="0" w:right="0"/>
        <w:jc w:val="both"/>
        <w:rPr>
          <w:rFonts w:ascii="Times New Roman" w:hAnsi="Times New Roman"/>
          <w:i w:val="0"/>
          <w:color w:val="000000"/>
          <w:sz w:val="24"/>
        </w:rPr>
      </w:pPr>
      <w:r w:rsidRPr="00893FF4">
        <w:rPr>
          <w:rFonts w:ascii="Times New Roman" w:hAnsi="Times New Roman"/>
          <w:i w:val="0"/>
          <w:color w:val="000000"/>
          <w:sz w:val="24"/>
        </w:rPr>
        <w:t xml:space="preserve"> </w:t>
      </w:r>
      <w:r w:rsidR="00035AAA" w:rsidRPr="00C80F36">
        <w:rPr>
          <w:rFonts w:ascii="Times New Roman" w:hAnsi="Times New Roman"/>
          <w:i w:val="0"/>
          <w:iCs w:val="0"/>
          <w:color w:val="2F5496" w:themeColor="accent5" w:themeShade="BF"/>
          <w:sz w:val="28"/>
          <w:szCs w:val="24"/>
        </w:rPr>
        <w:t>— Evaluating</w:t>
      </w:r>
      <w:r w:rsidR="00B32576" w:rsidRPr="00C80F36">
        <w:rPr>
          <w:rFonts w:ascii="Times New Roman" w:hAnsi="Times New Roman"/>
          <w:i w:val="0"/>
          <w:iCs w:val="0"/>
          <w:color w:val="2F5496" w:themeColor="accent5" w:themeShade="BF"/>
          <w:sz w:val="28"/>
          <w:szCs w:val="24"/>
        </w:rPr>
        <w:t xml:space="preserve"> the use of </w:t>
      </w:r>
      <w:r w:rsidR="0091076E" w:rsidRPr="00C80F36">
        <w:rPr>
          <w:rFonts w:ascii="Times New Roman" w:hAnsi="Times New Roman"/>
          <w:i w:val="0"/>
          <w:iCs w:val="0"/>
          <w:color w:val="2F5496" w:themeColor="accent5" w:themeShade="BF"/>
          <w:sz w:val="28"/>
          <w:szCs w:val="24"/>
        </w:rPr>
        <w:t>i</w:t>
      </w:r>
      <w:r w:rsidRPr="00C80F36">
        <w:rPr>
          <w:rFonts w:ascii="Times New Roman" w:hAnsi="Times New Roman"/>
          <w:i w:val="0"/>
          <w:iCs w:val="0"/>
          <w:color w:val="2F5496" w:themeColor="accent5" w:themeShade="BF"/>
          <w:sz w:val="28"/>
          <w:szCs w:val="24"/>
        </w:rPr>
        <w:t>temized deductions versus the standard deduction</w:t>
      </w:r>
    </w:p>
    <w:p w:rsidR="00E47100"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The Tax Cuts and Jobs Act roughly doubles the standard deduction. </w:t>
      </w:r>
      <w:r w:rsidR="00D9744A">
        <w:rPr>
          <w:rFonts w:ascii="Times New Roman" w:hAnsi="Times New Roman"/>
          <w:b w:val="0"/>
          <w:i w:val="0"/>
          <w:color w:val="000000"/>
        </w:rPr>
        <w:t>For single and married filing separate</w:t>
      </w:r>
      <w:r w:rsidR="00765CD6">
        <w:rPr>
          <w:rFonts w:ascii="Times New Roman" w:hAnsi="Times New Roman"/>
          <w:b w:val="0"/>
          <w:i w:val="0"/>
          <w:color w:val="000000"/>
        </w:rPr>
        <w:t xml:space="preserve">, </w:t>
      </w:r>
      <w:bookmarkStart w:id="0" w:name="_GoBack"/>
      <w:bookmarkEnd w:id="0"/>
      <w:r w:rsidR="00D9744A">
        <w:rPr>
          <w:rFonts w:ascii="Times New Roman" w:hAnsi="Times New Roman"/>
          <w:b w:val="0"/>
          <w:i w:val="0"/>
          <w:color w:val="000000"/>
        </w:rPr>
        <w:t>the standard deduction is increase</w:t>
      </w:r>
      <w:r w:rsidR="00A06939">
        <w:rPr>
          <w:rFonts w:ascii="Times New Roman" w:hAnsi="Times New Roman"/>
          <w:b w:val="0"/>
          <w:i w:val="0"/>
          <w:color w:val="000000"/>
        </w:rPr>
        <w:t>d</w:t>
      </w:r>
      <w:r w:rsidR="00D9744A">
        <w:rPr>
          <w:rFonts w:ascii="Times New Roman" w:hAnsi="Times New Roman"/>
          <w:b w:val="0"/>
          <w:i w:val="0"/>
          <w:color w:val="000000"/>
        </w:rPr>
        <w:t xml:space="preserve"> from $6,350 to $12,000, while married filing jointly has gone from </w:t>
      </w:r>
      <w:r w:rsidR="00F30AB4">
        <w:rPr>
          <w:rFonts w:ascii="Times New Roman" w:hAnsi="Times New Roman"/>
          <w:b w:val="0"/>
          <w:i w:val="0"/>
          <w:color w:val="000000"/>
        </w:rPr>
        <w:t>$</w:t>
      </w:r>
      <w:r w:rsidR="00D9744A">
        <w:rPr>
          <w:rFonts w:ascii="Times New Roman" w:hAnsi="Times New Roman"/>
          <w:b w:val="0"/>
          <w:i w:val="0"/>
          <w:color w:val="000000"/>
        </w:rPr>
        <w:t>12,700 to $24,000. The new laws also eliminate or limit</w:t>
      </w:r>
      <w:r w:rsidRPr="00035AAA">
        <w:rPr>
          <w:rFonts w:ascii="Times New Roman" w:hAnsi="Times New Roman"/>
          <w:b w:val="0"/>
          <w:i w:val="0"/>
          <w:color w:val="000000"/>
        </w:rPr>
        <w:t xml:space="preserve"> many of the</w:t>
      </w:r>
      <w:r w:rsidR="00D9744A">
        <w:rPr>
          <w:rFonts w:ascii="Times New Roman" w:hAnsi="Times New Roman"/>
          <w:b w:val="0"/>
          <w:i w:val="0"/>
          <w:color w:val="000000"/>
        </w:rPr>
        <w:t xml:space="preserve"> previous laws</w:t>
      </w:r>
      <w:r w:rsidRPr="00035AAA">
        <w:rPr>
          <w:rFonts w:ascii="Times New Roman" w:hAnsi="Times New Roman"/>
          <w:b w:val="0"/>
          <w:i w:val="0"/>
          <w:color w:val="000000"/>
        </w:rPr>
        <w:t xml:space="preserve"> </w:t>
      </w:r>
      <w:r w:rsidR="00F30AB4">
        <w:rPr>
          <w:rFonts w:ascii="Times New Roman" w:hAnsi="Times New Roman"/>
          <w:b w:val="0"/>
          <w:i w:val="0"/>
          <w:color w:val="000000"/>
        </w:rPr>
        <w:t xml:space="preserve">concerning </w:t>
      </w:r>
      <w:r w:rsidRPr="00035AAA">
        <w:rPr>
          <w:rFonts w:ascii="Times New Roman" w:hAnsi="Times New Roman"/>
          <w:b w:val="0"/>
          <w:i w:val="0"/>
          <w:color w:val="000000"/>
        </w:rPr>
        <w:t xml:space="preserve">itemized deductions. </w:t>
      </w:r>
      <w:r w:rsidR="00464286" w:rsidRPr="00035AAA">
        <w:rPr>
          <w:rFonts w:ascii="Times New Roman" w:hAnsi="Times New Roman"/>
          <w:b w:val="0"/>
          <w:i w:val="0"/>
          <w:color w:val="000000"/>
        </w:rPr>
        <w:t xml:space="preserve">An </w:t>
      </w:r>
      <w:r w:rsidRPr="00035AAA">
        <w:rPr>
          <w:rFonts w:ascii="Times New Roman" w:hAnsi="Times New Roman"/>
          <w:b w:val="0"/>
          <w:i w:val="0"/>
          <w:color w:val="000000"/>
        </w:rPr>
        <w:t>example</w:t>
      </w:r>
      <w:r w:rsidR="00464286" w:rsidRPr="00035AAA">
        <w:rPr>
          <w:rFonts w:ascii="Times New Roman" w:hAnsi="Times New Roman"/>
          <w:b w:val="0"/>
          <w:i w:val="0"/>
          <w:color w:val="000000"/>
        </w:rPr>
        <w:t xml:space="preserve"> is the</w:t>
      </w:r>
      <w:r w:rsidRPr="00035AAA">
        <w:rPr>
          <w:rFonts w:ascii="Times New Roman" w:hAnsi="Times New Roman"/>
          <w:b w:val="0"/>
          <w:i w:val="0"/>
          <w:color w:val="000000"/>
        </w:rPr>
        <w:t xml:space="preserve"> state and local tax </w:t>
      </w:r>
      <w:r w:rsidR="00464286" w:rsidRPr="00035AAA">
        <w:rPr>
          <w:rFonts w:ascii="Times New Roman" w:hAnsi="Times New Roman"/>
          <w:b w:val="0"/>
          <w:i w:val="0"/>
          <w:color w:val="000000"/>
        </w:rPr>
        <w:t>deduction (SALT), which</w:t>
      </w:r>
      <w:r w:rsidRPr="00035AAA">
        <w:rPr>
          <w:rFonts w:ascii="Times New Roman" w:hAnsi="Times New Roman"/>
          <w:b w:val="0"/>
          <w:i w:val="0"/>
          <w:color w:val="000000"/>
        </w:rPr>
        <w:t xml:space="preserve"> is now capped at $10,000 per year, or $5,000 for a married taxpayer filing separately. A</w:t>
      </w:r>
      <w:r w:rsidR="00464286" w:rsidRPr="00035AAA">
        <w:rPr>
          <w:rFonts w:ascii="Times New Roman" w:hAnsi="Times New Roman"/>
          <w:b w:val="0"/>
          <w:i w:val="0"/>
          <w:color w:val="000000"/>
        </w:rPr>
        <w:t>dditionally</w:t>
      </w:r>
      <w:r w:rsidRPr="00035AAA">
        <w:rPr>
          <w:rFonts w:ascii="Times New Roman" w:hAnsi="Times New Roman"/>
          <w:b w:val="0"/>
          <w:i w:val="0"/>
          <w:color w:val="000000"/>
        </w:rPr>
        <w:t>, the Tax Cuts and Jobs Act temporarily eliminates miscellaneous itemized deductions subject to the 2</w:t>
      </w:r>
      <w:r w:rsidR="00F30AB4">
        <w:rPr>
          <w:rFonts w:ascii="Times New Roman" w:hAnsi="Times New Roman"/>
          <w:b w:val="0"/>
          <w:i w:val="0"/>
          <w:color w:val="000000"/>
        </w:rPr>
        <w:t xml:space="preserve">% </w:t>
      </w:r>
      <w:r w:rsidRPr="00035AAA">
        <w:rPr>
          <w:rFonts w:ascii="Times New Roman" w:hAnsi="Times New Roman"/>
          <w:b w:val="0"/>
          <w:i w:val="0"/>
          <w:color w:val="000000"/>
        </w:rPr>
        <w:t>floor (like tax preparation fees and employee business expenses) and limits the home mortgage interest deduction to home acquisition debt of up to $750,000, or $375,000 for a married taxpayer filing separately.</w:t>
      </w:r>
    </w:p>
    <w:p w:rsidR="00464286"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So, what </w:t>
      </w:r>
      <w:r w:rsidR="00464286" w:rsidRPr="00035AAA">
        <w:rPr>
          <w:rFonts w:ascii="Times New Roman" w:hAnsi="Times New Roman"/>
          <w:b w:val="0"/>
          <w:i w:val="0"/>
          <w:color w:val="000000"/>
        </w:rPr>
        <w:t>should a taxpayer consider?</w:t>
      </w:r>
    </w:p>
    <w:p w:rsidR="00E47100" w:rsidRPr="00035AAA" w:rsidRDefault="00E47100"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 xml:space="preserve">For those who typically claim the standard deduction, </w:t>
      </w:r>
      <w:r w:rsidR="00464286" w:rsidRPr="00035AAA">
        <w:rPr>
          <w:rFonts w:ascii="Times New Roman" w:hAnsi="Times New Roman"/>
          <w:b w:val="0"/>
          <w:i w:val="0"/>
          <w:color w:val="000000"/>
        </w:rPr>
        <w:t>it is more than likely that</w:t>
      </w:r>
      <w:r w:rsidRPr="00035AAA">
        <w:rPr>
          <w:rFonts w:ascii="Times New Roman" w:hAnsi="Times New Roman"/>
          <w:b w:val="0"/>
          <w:i w:val="0"/>
          <w:color w:val="000000"/>
        </w:rPr>
        <w:t xml:space="preserve"> their tax bill will decrease for 2018. Although personal exemption deductions are no longer available, a larger standard deduction, combined with lower tax rates and an increased child tax credit, </w:t>
      </w:r>
      <w:r w:rsidR="00464286" w:rsidRPr="00035AAA">
        <w:rPr>
          <w:rFonts w:ascii="Times New Roman" w:hAnsi="Times New Roman"/>
          <w:b w:val="0"/>
          <w:i w:val="0"/>
          <w:color w:val="000000"/>
        </w:rPr>
        <w:t xml:space="preserve">could now </w:t>
      </w:r>
      <w:r w:rsidRPr="00035AAA">
        <w:rPr>
          <w:rFonts w:ascii="Times New Roman" w:hAnsi="Times New Roman"/>
          <w:b w:val="0"/>
          <w:i w:val="0"/>
          <w:color w:val="000000"/>
        </w:rPr>
        <w:t xml:space="preserve">result in less tax. </w:t>
      </w:r>
      <w:r w:rsidR="00464286" w:rsidRPr="00035AAA">
        <w:rPr>
          <w:rFonts w:ascii="Times New Roman" w:hAnsi="Times New Roman"/>
          <w:b w:val="0"/>
          <w:i w:val="0"/>
          <w:color w:val="000000"/>
        </w:rPr>
        <w:t>According to Accounting Today, some taxpayers</w:t>
      </w:r>
      <w:r w:rsidRPr="00035AAA">
        <w:rPr>
          <w:rFonts w:ascii="Times New Roman" w:hAnsi="Times New Roman"/>
          <w:b w:val="0"/>
          <w:i w:val="0"/>
          <w:color w:val="000000"/>
        </w:rPr>
        <w:t xml:space="preserve"> who itemized last year won’t itemize this year, or they may be able to itemize for state income tax purposes but not for federal. You</w:t>
      </w:r>
      <w:r w:rsidR="00464286" w:rsidRPr="00035AAA">
        <w:rPr>
          <w:rFonts w:ascii="Times New Roman" w:hAnsi="Times New Roman"/>
          <w:b w:val="0"/>
          <w:i w:val="0"/>
          <w:color w:val="000000"/>
        </w:rPr>
        <w:t xml:space="preserve"> should consider</w:t>
      </w:r>
      <w:r w:rsidRPr="00035AAA">
        <w:rPr>
          <w:rFonts w:ascii="Times New Roman" w:hAnsi="Times New Roman"/>
          <w:b w:val="0"/>
          <w:i w:val="0"/>
          <w:color w:val="000000"/>
        </w:rPr>
        <w:t xml:space="preserve"> run</w:t>
      </w:r>
      <w:r w:rsidR="00464286" w:rsidRPr="00035AAA">
        <w:rPr>
          <w:rFonts w:ascii="Times New Roman" w:hAnsi="Times New Roman"/>
          <w:b w:val="0"/>
          <w:i w:val="0"/>
          <w:color w:val="000000"/>
        </w:rPr>
        <w:t>ning</w:t>
      </w:r>
      <w:r w:rsidRPr="00035AAA">
        <w:rPr>
          <w:rFonts w:ascii="Times New Roman" w:hAnsi="Times New Roman"/>
          <w:b w:val="0"/>
          <w:i w:val="0"/>
          <w:color w:val="000000"/>
        </w:rPr>
        <w:t xml:space="preserve"> the numbers to assess the impact </w:t>
      </w:r>
      <w:r w:rsidR="00464286" w:rsidRPr="00035AAA">
        <w:rPr>
          <w:rFonts w:ascii="Times New Roman" w:hAnsi="Times New Roman"/>
          <w:b w:val="0"/>
          <w:i w:val="0"/>
          <w:color w:val="000000"/>
        </w:rPr>
        <w:t>on your situation before deciding</w:t>
      </w:r>
      <w:r w:rsidRPr="00035AAA">
        <w:rPr>
          <w:rFonts w:ascii="Times New Roman" w:hAnsi="Times New Roman"/>
          <w:b w:val="0"/>
          <w:i w:val="0"/>
          <w:color w:val="000000"/>
        </w:rPr>
        <w:t>. Depending on the results, you may</w:t>
      </w:r>
      <w:r w:rsidR="00464286" w:rsidRPr="00035AAA">
        <w:rPr>
          <w:rFonts w:ascii="Times New Roman" w:hAnsi="Times New Roman"/>
          <w:b w:val="0"/>
          <w:i w:val="0"/>
          <w:color w:val="000000"/>
        </w:rPr>
        <w:t xml:space="preserve"> even</w:t>
      </w:r>
      <w:r w:rsidRPr="00035AAA">
        <w:rPr>
          <w:rFonts w:ascii="Times New Roman" w:hAnsi="Times New Roman"/>
          <w:b w:val="0"/>
          <w:i w:val="0"/>
          <w:color w:val="000000"/>
        </w:rPr>
        <w:t xml:space="preserve"> need to adjust your estimated quarterly tax payments or </w:t>
      </w:r>
      <w:r w:rsidR="00464286" w:rsidRPr="00035AAA">
        <w:rPr>
          <w:rFonts w:ascii="Times New Roman" w:hAnsi="Times New Roman"/>
          <w:b w:val="0"/>
          <w:i w:val="0"/>
          <w:color w:val="000000"/>
        </w:rPr>
        <w:t>think about</w:t>
      </w:r>
      <w:r w:rsidRPr="00035AAA">
        <w:rPr>
          <w:rFonts w:ascii="Times New Roman" w:hAnsi="Times New Roman"/>
          <w:b w:val="0"/>
          <w:i w:val="0"/>
          <w:color w:val="000000"/>
        </w:rPr>
        <w:t xml:space="preserve"> turn</w:t>
      </w:r>
      <w:r w:rsidR="00464286" w:rsidRPr="00035AAA">
        <w:rPr>
          <w:rFonts w:ascii="Times New Roman" w:hAnsi="Times New Roman"/>
          <w:b w:val="0"/>
          <w:i w:val="0"/>
          <w:color w:val="000000"/>
        </w:rPr>
        <w:t>ing</w:t>
      </w:r>
      <w:r w:rsidRPr="00035AAA">
        <w:rPr>
          <w:rFonts w:ascii="Times New Roman" w:hAnsi="Times New Roman"/>
          <w:b w:val="0"/>
          <w:i w:val="0"/>
          <w:color w:val="000000"/>
        </w:rPr>
        <w:t xml:space="preserve"> in a new Form W-4 to </w:t>
      </w:r>
      <w:r w:rsidR="00621541">
        <w:rPr>
          <w:rFonts w:ascii="Times New Roman" w:hAnsi="Times New Roman"/>
          <w:b w:val="0"/>
          <w:i w:val="0"/>
          <w:color w:val="000000"/>
        </w:rPr>
        <w:t>your</w:t>
      </w:r>
      <w:r w:rsidRPr="00035AAA">
        <w:rPr>
          <w:rFonts w:ascii="Times New Roman" w:hAnsi="Times New Roman"/>
          <w:b w:val="0"/>
          <w:i w:val="0"/>
          <w:color w:val="000000"/>
        </w:rPr>
        <w:t xml:space="preserve"> employer.</w:t>
      </w:r>
    </w:p>
    <w:p w:rsidR="00C7297D" w:rsidRPr="00C80F36" w:rsidRDefault="00C7297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Consider</w:t>
      </w:r>
      <w:r w:rsidR="00D9744A">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bunching charitable contributions or using a donor-advised fund</w:t>
      </w:r>
    </w:p>
    <w:p w:rsidR="00C7297D" w:rsidRDefault="00C7297D" w:rsidP="00771AC6">
      <w:pPr>
        <w:pStyle w:val="IntenseQuote"/>
        <w:pBdr>
          <w:bottom w:val="none" w:sz="0" w:space="0" w:color="auto"/>
        </w:pBdr>
        <w:spacing w:after="0" w:line="240" w:lineRule="auto"/>
        <w:ind w:left="0" w:right="0"/>
        <w:jc w:val="both"/>
        <w:rPr>
          <w:rFonts w:ascii="Times New Roman" w:hAnsi="Times New Roman"/>
          <w:b w:val="0"/>
          <w:i w:val="0"/>
          <w:color w:val="000000"/>
          <w:sz w:val="20"/>
        </w:rPr>
      </w:pPr>
      <w:r w:rsidRPr="00035AAA">
        <w:rPr>
          <w:rFonts w:ascii="Times New Roman" w:hAnsi="Times New Roman"/>
          <w:b w:val="0"/>
          <w:i w:val="0"/>
          <w:color w:val="000000"/>
        </w:rPr>
        <w:t xml:space="preserve">The Tax Cuts and Jobs Act temporarily increases the limit on cash contributions to public charities and certain private foundations from 50 to 60 percent of adjusted gross income. For many taxpayers, the doubling of the standard deduction and changes to key itemized deductions will result in </w:t>
      </w:r>
      <w:r w:rsidR="001F7EB1">
        <w:rPr>
          <w:rFonts w:ascii="Times New Roman" w:hAnsi="Times New Roman"/>
          <w:b w:val="0"/>
          <w:i w:val="0"/>
          <w:color w:val="000000"/>
        </w:rPr>
        <w:t>them</w:t>
      </w:r>
      <w:r w:rsidRPr="00035AAA">
        <w:rPr>
          <w:rFonts w:ascii="Times New Roman" w:hAnsi="Times New Roman"/>
          <w:b w:val="0"/>
          <w:i w:val="0"/>
          <w:color w:val="000000"/>
        </w:rPr>
        <w:t xml:space="preserve"> not itemizing in 2018</w:t>
      </w:r>
      <w:r w:rsidR="00A50611">
        <w:rPr>
          <w:rFonts w:ascii="Times New Roman" w:hAnsi="Times New Roman"/>
          <w:b w:val="0"/>
          <w:i w:val="0"/>
          <w:color w:val="000000"/>
        </w:rPr>
        <w:t>,</w:t>
      </w:r>
      <w:r w:rsidRPr="00035AAA">
        <w:rPr>
          <w:rFonts w:ascii="Times New Roman" w:hAnsi="Times New Roman"/>
          <w:b w:val="0"/>
          <w:i w:val="0"/>
          <w:color w:val="000000"/>
        </w:rPr>
        <w:t xml:space="preserve"> therefore benefiting from this increased limit. One way to combat this is to bunch or increase your charitable contributions in alternating years. Another strategy is to consider using a donor-advised fund. A donor-advised fund, or DAF, is a philanthropic vehicle established at a public charity. It allows donors to make a charitable contribution, receive an immediate tax benefit and then recommend grants from the fund over time.</w:t>
      </w:r>
      <w:r w:rsidRPr="00035AAA">
        <w:rPr>
          <w:rFonts w:ascii="Times New Roman" w:hAnsi="Times New Roman"/>
          <w:color w:val="000000"/>
        </w:rPr>
        <w:t xml:space="preserve"> </w:t>
      </w:r>
      <w:r w:rsidRPr="00035AAA">
        <w:rPr>
          <w:rFonts w:ascii="Times New Roman" w:hAnsi="Times New Roman"/>
          <w:b w:val="0"/>
          <w:i w:val="0"/>
          <w:color w:val="000000"/>
        </w:rPr>
        <w:t>Taxpayers can take advantage of the charitable deduction when they’re at a higher marginal tax rate while actual payouts from the fund can be deferred until later. It’s a win-win situation.</w:t>
      </w:r>
      <w:r w:rsidRPr="00035AAA">
        <w:rPr>
          <w:rFonts w:ascii="Times New Roman" w:hAnsi="Times New Roman"/>
          <w:b w:val="0"/>
          <w:i w:val="0"/>
          <w:color w:val="000000"/>
          <w:sz w:val="20"/>
        </w:rPr>
        <w:t xml:space="preserve"> </w:t>
      </w:r>
    </w:p>
    <w:p w:rsidR="00FE129D" w:rsidRPr="00C80F36"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Review</w:t>
      </w:r>
      <w:r>
        <w:rPr>
          <w:rFonts w:ascii="Times New Roman" w:hAnsi="Times New Roman"/>
          <w:i w:val="0"/>
          <w:iCs w:val="0"/>
          <w:color w:val="2F5496" w:themeColor="accent5" w:themeShade="BF"/>
          <w:sz w:val="28"/>
          <w:szCs w:val="24"/>
        </w:rPr>
        <w:t>ing</w:t>
      </w:r>
      <w:r w:rsidRPr="00C80F36">
        <w:rPr>
          <w:rFonts w:ascii="Times New Roman" w:hAnsi="Times New Roman"/>
          <w:i w:val="0"/>
          <w:iCs w:val="0"/>
          <w:color w:val="2F5496" w:themeColor="accent5" w:themeShade="BF"/>
          <w:sz w:val="28"/>
          <w:szCs w:val="24"/>
        </w:rPr>
        <w:t xml:space="preserve"> your home equity debt interest</w:t>
      </w:r>
    </w:p>
    <w:p w:rsidR="00FE129D" w:rsidRDefault="00FE129D"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Under the Tax Cuts and Jobs Act, home equity debt interest is no longer deductible. Or so it was originally proposed.  According to the IRS, interest paid on home equity loans and lines of credit is deductible if the funds were used to buy or substantially improve the home that secures the loan. In other words, it can be treated as home acquisition debt subject to the new $750,000/$375,000 limit. This is good news for homeowners, if they used the funds for the home.  Please share with your tax preparer how the proceeds of your home equity loan were used. If you used the cash to pay off credit card or other personal debts, then the interest isn’t deductible, even if the payoff occurred prior to 2018</w:t>
      </w:r>
      <w:r w:rsidRPr="00E47100">
        <w:rPr>
          <w:rFonts w:ascii="Times New Roman" w:hAnsi="Times New Roman"/>
          <w:b w:val="0"/>
          <w:i w:val="0"/>
          <w:color w:val="000000"/>
        </w:rPr>
        <w:t>.</w:t>
      </w:r>
    </w:p>
    <w:p w:rsidR="00B80EDE" w:rsidRPr="00B80EDE" w:rsidRDefault="00B80EDE" w:rsidP="00B80EDE"/>
    <w:tbl>
      <w:tblPr>
        <w:tblStyle w:val="TableGrid"/>
        <w:tblpPr w:leftFromText="180" w:rightFromText="180" w:vertAnchor="text" w:horzAnchor="margin" w:tblpXSpec="right" w:tblpY="156"/>
        <w:tblOverlap w:val="never"/>
        <w:tblW w:w="0" w:type="auto"/>
        <w:tblBorders>
          <w:top w:val="single" w:sz="18" w:space="0" w:color="1F4E79" w:themeColor="accent1" w:themeShade="80"/>
          <w:left w:val="single" w:sz="18" w:space="0" w:color="1F4E79" w:themeColor="accent1" w:themeShade="80"/>
          <w:bottom w:val="single" w:sz="18" w:space="0" w:color="1F4E79" w:themeColor="accent1" w:themeShade="80"/>
          <w:right w:val="single" w:sz="18" w:space="0" w:color="1F4E79" w:themeColor="accent1" w:themeShade="80"/>
        </w:tblBorders>
        <w:tblLook w:val="04A0" w:firstRow="1" w:lastRow="0" w:firstColumn="1" w:lastColumn="0" w:noHBand="0" w:noVBand="1"/>
      </w:tblPr>
      <w:tblGrid>
        <w:gridCol w:w="4405"/>
      </w:tblGrid>
      <w:tr w:rsidR="0056486E" w:rsidTr="0056486E">
        <w:trPr>
          <w:trHeight w:val="533"/>
        </w:trPr>
        <w:tc>
          <w:tcPr>
            <w:tcW w:w="4405" w:type="dxa"/>
            <w:shd w:val="clear" w:color="auto" w:fill="2F5496" w:themeFill="accent5" w:themeFillShade="BF"/>
            <w:vAlign w:val="center"/>
          </w:tcPr>
          <w:p w:rsidR="0056486E" w:rsidRPr="00771AC6" w:rsidRDefault="0056486E" w:rsidP="0056486E">
            <w:pPr>
              <w:pStyle w:val="IntenseQuote"/>
              <w:pBdr>
                <w:bottom w:val="none" w:sz="0" w:space="0" w:color="auto"/>
              </w:pBdr>
              <w:spacing w:after="0" w:line="240" w:lineRule="auto"/>
              <w:ind w:left="0" w:right="0"/>
              <w:jc w:val="center"/>
              <w:rPr>
                <w:rFonts w:ascii="Times New Roman" w:hAnsi="Times New Roman"/>
                <w:i w:val="0"/>
                <w:color w:val="1F4E79" w:themeColor="accent1" w:themeShade="80"/>
                <w:sz w:val="22"/>
              </w:rPr>
            </w:pPr>
            <w:r w:rsidRPr="00FA38BA">
              <w:rPr>
                <w:rFonts w:asciiTheme="minorHAnsi" w:eastAsia="Times New Roman" w:hAnsiTheme="minorHAnsi"/>
                <w:color w:val="FFFFFF" w:themeColor="background1"/>
                <w:sz w:val="28"/>
                <w:szCs w:val="34"/>
              </w:rPr>
              <w:lastRenderedPageBreak/>
              <w:t>Actions to Consider Before Year-end</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Guestimate your new tax rates.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Review new Tax Cuts and Jobs Act strategies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right="-111"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Review your retirement savings options.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Consider Roth IRA conversions.</w:t>
            </w:r>
          </w:p>
        </w:tc>
      </w:tr>
      <w:tr w:rsidR="0056486E" w:rsidTr="0056486E">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sidRPr="00771AC6">
              <w:rPr>
                <w:rFonts w:asciiTheme="minorHAnsi" w:eastAsia="Times New Roman" w:hAnsiTheme="minorHAnsi"/>
                <w:b/>
                <w:spacing w:val="-20"/>
                <w:sz w:val="22"/>
                <w:szCs w:val="26"/>
              </w:rPr>
              <w:t xml:space="preserve">Review your capital </w:t>
            </w:r>
            <w:r w:rsidR="00FE2E75">
              <w:rPr>
                <w:rFonts w:asciiTheme="minorHAnsi" w:eastAsia="Times New Roman" w:hAnsiTheme="minorHAnsi"/>
                <w:b/>
                <w:spacing w:val="-20"/>
                <w:sz w:val="22"/>
                <w:szCs w:val="26"/>
              </w:rPr>
              <w:t>gains</w:t>
            </w:r>
            <w:r w:rsidRPr="00771AC6">
              <w:rPr>
                <w:rFonts w:asciiTheme="minorHAnsi" w:eastAsia="Times New Roman" w:hAnsiTheme="minorHAnsi"/>
                <w:b/>
                <w:spacing w:val="-20"/>
                <w:sz w:val="22"/>
                <w:szCs w:val="26"/>
              </w:rPr>
              <w:t xml:space="preserve"> and </w:t>
            </w:r>
            <w:r w:rsidR="00FE2E75">
              <w:rPr>
                <w:rFonts w:asciiTheme="minorHAnsi" w:eastAsia="Times New Roman" w:hAnsiTheme="minorHAnsi"/>
                <w:b/>
                <w:spacing w:val="-20"/>
                <w:sz w:val="22"/>
                <w:szCs w:val="26"/>
              </w:rPr>
              <w:t>losses</w:t>
            </w:r>
            <w:r w:rsidRPr="00771AC6">
              <w:rPr>
                <w:rFonts w:asciiTheme="minorHAnsi" w:eastAsia="Times New Roman" w:hAnsiTheme="minorHAnsi"/>
                <w:b/>
                <w:spacing w:val="-20"/>
                <w:sz w:val="22"/>
                <w:szCs w:val="26"/>
              </w:rPr>
              <w:t>.</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Review o</w:t>
            </w:r>
            <w:r w:rsidR="0056486E" w:rsidRPr="00771AC6">
              <w:rPr>
                <w:rFonts w:asciiTheme="minorHAnsi" w:eastAsia="Times New Roman" w:hAnsiTheme="minorHAnsi"/>
                <w:b/>
                <w:spacing w:val="-20"/>
                <w:sz w:val="22"/>
                <w:szCs w:val="26"/>
              </w:rPr>
              <w:t xml:space="preserve">ther notable </w:t>
            </w:r>
            <w:r>
              <w:rPr>
                <w:rFonts w:asciiTheme="minorHAnsi" w:eastAsia="Times New Roman" w:hAnsiTheme="minorHAnsi"/>
                <w:b/>
                <w:spacing w:val="-20"/>
                <w:sz w:val="22"/>
                <w:szCs w:val="26"/>
              </w:rPr>
              <w:t>tax changes for 2018</w:t>
            </w:r>
            <w:r w:rsidR="0056486E" w:rsidRPr="00771AC6">
              <w:rPr>
                <w:rFonts w:asciiTheme="minorHAnsi" w:eastAsia="Times New Roman" w:hAnsiTheme="minorHAnsi"/>
                <w:b/>
                <w:spacing w:val="-20"/>
                <w:sz w:val="22"/>
                <w:szCs w:val="26"/>
              </w:rPr>
              <w:t xml:space="preserve">. </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Review your charitable giving.</w:t>
            </w:r>
          </w:p>
        </w:tc>
      </w:tr>
      <w:tr w:rsidR="0056486E" w:rsidTr="0056486E">
        <w:tc>
          <w:tcPr>
            <w:tcW w:w="4405" w:type="dxa"/>
            <w:vAlign w:val="center"/>
          </w:tcPr>
          <w:p w:rsidR="0056486E" w:rsidRPr="00771AC6" w:rsidRDefault="00FE2E75" w:rsidP="0056486E">
            <w:pPr>
              <w:pStyle w:val="ListParagraph"/>
              <w:numPr>
                <w:ilvl w:val="0"/>
                <w:numId w:val="43"/>
              </w:numPr>
              <w:spacing w:after="0" w:line="240" w:lineRule="auto"/>
              <w:ind w:left="242" w:hanging="242"/>
              <w:rPr>
                <w:rFonts w:asciiTheme="minorHAnsi" w:eastAsia="Times New Roman" w:hAnsiTheme="minorHAnsi"/>
                <w:b/>
                <w:spacing w:val="-20"/>
                <w:sz w:val="22"/>
                <w:szCs w:val="26"/>
              </w:rPr>
            </w:pPr>
            <w:r>
              <w:rPr>
                <w:rFonts w:asciiTheme="minorHAnsi" w:eastAsia="Times New Roman" w:hAnsiTheme="minorHAnsi"/>
                <w:b/>
                <w:spacing w:val="-20"/>
                <w:sz w:val="22"/>
                <w:szCs w:val="26"/>
              </w:rPr>
              <w:t>Consider additional year-end tax strategies.</w:t>
            </w:r>
          </w:p>
        </w:tc>
      </w:tr>
      <w:tr w:rsidR="0056486E" w:rsidTr="00D35487">
        <w:trPr>
          <w:trHeight w:val="497"/>
        </w:trPr>
        <w:tc>
          <w:tcPr>
            <w:tcW w:w="4405" w:type="dxa"/>
            <w:vAlign w:val="center"/>
          </w:tcPr>
          <w:p w:rsidR="0056486E" w:rsidRPr="00771AC6" w:rsidRDefault="0056486E" w:rsidP="0056486E">
            <w:pPr>
              <w:pStyle w:val="ListParagraph"/>
              <w:numPr>
                <w:ilvl w:val="0"/>
                <w:numId w:val="43"/>
              </w:numPr>
              <w:spacing w:after="0" w:line="240" w:lineRule="auto"/>
              <w:ind w:left="242" w:hanging="242"/>
              <w:rPr>
                <w:rFonts w:asciiTheme="minorHAnsi" w:eastAsia="Times New Roman" w:hAnsiTheme="minorHAnsi"/>
                <w:b/>
                <w:spacing w:val="-20"/>
                <w:sz w:val="22"/>
                <w:szCs w:val="28"/>
              </w:rPr>
            </w:pPr>
            <w:r w:rsidRPr="0056486E">
              <w:rPr>
                <w:rFonts w:asciiTheme="minorHAnsi" w:eastAsia="Times New Roman" w:hAnsiTheme="minorHAnsi"/>
                <w:b/>
                <w:color w:val="002060"/>
                <w:spacing w:val="-20"/>
                <w:sz w:val="24"/>
                <w:szCs w:val="28"/>
              </w:rPr>
              <w:t xml:space="preserve">Review </w:t>
            </w:r>
            <w:r w:rsidR="005840F6">
              <w:rPr>
                <w:rFonts w:asciiTheme="minorHAnsi" w:eastAsia="Times New Roman" w:hAnsiTheme="minorHAnsi"/>
                <w:b/>
                <w:color w:val="002060"/>
                <w:spacing w:val="-20"/>
                <w:sz w:val="24"/>
                <w:szCs w:val="28"/>
              </w:rPr>
              <w:t xml:space="preserve">your </w:t>
            </w:r>
            <w:r w:rsidRPr="0056486E">
              <w:rPr>
                <w:rFonts w:asciiTheme="minorHAnsi" w:eastAsia="Times New Roman" w:hAnsiTheme="minorHAnsi"/>
                <w:b/>
                <w:color w:val="002060"/>
                <w:spacing w:val="-20"/>
                <w:sz w:val="24"/>
                <w:szCs w:val="28"/>
              </w:rPr>
              <w:t xml:space="preserve">tax strategies with </w:t>
            </w:r>
            <w:r w:rsidR="005840F6">
              <w:rPr>
                <w:rFonts w:asciiTheme="minorHAnsi" w:eastAsia="Times New Roman" w:hAnsiTheme="minorHAnsi"/>
                <w:b/>
                <w:color w:val="002060"/>
                <w:spacing w:val="-20"/>
                <w:sz w:val="24"/>
                <w:szCs w:val="28"/>
              </w:rPr>
              <w:t>a</w:t>
            </w:r>
            <w:r w:rsidRPr="0056486E">
              <w:rPr>
                <w:rFonts w:asciiTheme="minorHAnsi" w:eastAsia="Times New Roman" w:hAnsiTheme="minorHAnsi"/>
                <w:b/>
                <w:color w:val="002060"/>
                <w:spacing w:val="-20"/>
                <w:sz w:val="24"/>
                <w:szCs w:val="28"/>
              </w:rPr>
              <w:t xml:space="preserve"> tax preparer.</w:t>
            </w:r>
          </w:p>
        </w:tc>
      </w:tr>
    </w:tbl>
    <w:p w:rsidR="00FE129D"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sidRPr="00C80F36">
        <w:rPr>
          <w:rFonts w:ascii="Times New Roman" w:hAnsi="Times New Roman"/>
          <w:i w:val="0"/>
          <w:iCs w:val="0"/>
          <w:color w:val="2F5496" w:themeColor="accent5" w:themeShade="BF"/>
          <w:sz w:val="28"/>
          <w:szCs w:val="24"/>
        </w:rPr>
        <w:t>— Revisiting the use of qualified tuition plans</w:t>
      </w:r>
    </w:p>
    <w:p w:rsidR="00FE129D" w:rsidRPr="00084863" w:rsidRDefault="00FE129D"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Qualified tuition plans, also</w:t>
      </w:r>
      <w:r w:rsidR="00084863">
        <w:rPr>
          <w:rFonts w:ascii="Times New Roman" w:hAnsi="Times New Roman"/>
          <w:b w:val="0"/>
          <w:i w:val="0"/>
          <w:color w:val="000000"/>
        </w:rPr>
        <w:t xml:space="preserve"> </w:t>
      </w:r>
      <w:r w:rsidRPr="00035AAA">
        <w:rPr>
          <w:rFonts w:ascii="Times New Roman" w:hAnsi="Times New Roman"/>
          <w:b w:val="0"/>
          <w:i w:val="0"/>
          <w:color w:val="000000"/>
        </w:rPr>
        <w:t>named 529 plans, are a great way to tax efficiently plan the financial burden of paying for college. Earnings in a 529 plan could be withdrawn tax-free only when used for qualified higher education at colleges, universities, vocational schools or other post-secondary schools</w:t>
      </w:r>
      <w:r w:rsidR="00084863">
        <w:rPr>
          <w:rFonts w:ascii="Times New Roman" w:hAnsi="Times New Roman"/>
          <w:b w:val="0"/>
          <w:i w:val="0"/>
          <w:color w:val="000000"/>
        </w:rPr>
        <w:t>.</w:t>
      </w:r>
      <w:r w:rsidRPr="00035AAA">
        <w:rPr>
          <w:rFonts w:ascii="Times New Roman" w:hAnsi="Times New Roman"/>
          <w:b w:val="0"/>
          <w:i w:val="0"/>
          <w:color w:val="000000"/>
        </w:rPr>
        <w:t xml:space="preserve"> </w:t>
      </w:r>
      <w:r w:rsidR="00084863">
        <w:rPr>
          <w:rFonts w:ascii="Times New Roman" w:hAnsi="Times New Roman"/>
          <w:b w:val="0"/>
          <w:i w:val="0"/>
          <w:color w:val="000000"/>
        </w:rPr>
        <w:t>H</w:t>
      </w:r>
      <w:r w:rsidRPr="00035AAA">
        <w:rPr>
          <w:rFonts w:ascii="Times New Roman" w:hAnsi="Times New Roman"/>
          <w:b w:val="0"/>
          <w:i w:val="0"/>
          <w:color w:val="000000"/>
        </w:rPr>
        <w:t>owever, the</w:t>
      </w:r>
      <w:r w:rsidR="00084863">
        <w:rPr>
          <w:rFonts w:ascii="Times New Roman" w:hAnsi="Times New Roman"/>
          <w:b w:val="0"/>
          <w:i w:val="0"/>
          <w:color w:val="000000"/>
        </w:rPr>
        <w:t>y</w:t>
      </w:r>
      <w:r w:rsidRPr="00035AAA">
        <w:rPr>
          <w:rFonts w:ascii="Times New Roman" w:hAnsi="Times New Roman"/>
          <w:b w:val="0"/>
          <w:i w:val="0"/>
          <w:color w:val="000000"/>
        </w:rPr>
        <w:t xml:space="preserve"> changed that so 529 plans can now be used to pay for tuition at an elementary or secondary public, private or religious school, up to $10,000 per year.</w:t>
      </w:r>
      <w:r>
        <w:rPr>
          <w:rFonts w:ascii="Times New Roman" w:hAnsi="Times New Roman"/>
          <w:b w:val="0"/>
          <w:i w:val="0"/>
          <w:color w:val="000000"/>
        </w:rPr>
        <w:t xml:space="preserve">  </w:t>
      </w:r>
      <w:r w:rsidRPr="009B1FAB">
        <w:rPr>
          <w:rFonts w:ascii="Times New Roman" w:hAnsi="Times New Roman"/>
          <w:b w:val="0"/>
          <w:i w:val="0"/>
          <w:color w:val="000000"/>
        </w:rPr>
        <w:t>Unlike IRAs</w:t>
      </w:r>
      <w:r>
        <w:rPr>
          <w:rFonts w:ascii="Times New Roman" w:hAnsi="Times New Roman"/>
          <w:b w:val="0"/>
          <w:i w:val="0"/>
          <w:color w:val="000000"/>
        </w:rPr>
        <w:t>,</w:t>
      </w:r>
      <w:r w:rsidRPr="009B1FAB">
        <w:rPr>
          <w:rFonts w:ascii="Times New Roman" w:hAnsi="Times New Roman"/>
          <w:b w:val="0"/>
          <w:i w:val="0"/>
          <w:color w:val="000000"/>
        </w:rPr>
        <w:t xml:space="preserve"> there are no annual contribution limits for 529 plans. However, there are maximum aggregate limits, which vary by plan. Under federal law, 529 plan balances cannot exceed the expected cost of the beneficiary's qualified higher education expenses. Limits vary by state, ranging from $235,000 to $520,000</w:t>
      </w:r>
      <w:r>
        <w:rPr>
          <w:rFonts w:ascii="Times New Roman" w:hAnsi="Times New Roman"/>
          <w:b w:val="0"/>
          <w:i w:val="0"/>
          <w:color w:val="000000"/>
        </w:rPr>
        <w:t>.</w:t>
      </w:r>
      <w:r w:rsidRPr="009B1FAB">
        <w:rPr>
          <w:rFonts w:ascii="Times New Roman" w:hAnsi="Times New Roman"/>
          <w:b w:val="0"/>
          <w:i w:val="0"/>
          <w:color w:val="000000"/>
        </w:rPr>
        <w:t> </w:t>
      </w:r>
      <w:r>
        <w:rPr>
          <w:rFonts w:ascii="Times New Roman" w:hAnsi="Times New Roman"/>
          <w:b w:val="0"/>
          <w:i w:val="0"/>
          <w:color w:val="000000"/>
        </w:rPr>
        <w:t>Some states even</w:t>
      </w:r>
      <w:r w:rsidRPr="009B1FAB">
        <w:rPr>
          <w:rFonts w:ascii="Times New Roman" w:hAnsi="Times New Roman"/>
          <w:b w:val="0"/>
          <w:i w:val="0"/>
          <w:color w:val="000000"/>
        </w:rPr>
        <w:t xml:space="preserve"> offer a state tax credit or deduction up to a certain amount. </w:t>
      </w:r>
      <w:r w:rsidRPr="00035AAA">
        <w:rPr>
          <w:rFonts w:ascii="Times New Roman" w:hAnsi="Times New Roman"/>
          <w:b w:val="0"/>
          <w:i w:val="0"/>
          <w:color w:val="000000"/>
        </w:rPr>
        <w:t xml:space="preserve"> If you are paying tuition for children or grandchildren to attend elementary or secondary schools, it might be advantageous to set up or revisit a 529 plan. This is also a strategy that can reduce your estate.</w:t>
      </w:r>
      <w:r>
        <w:rPr>
          <w:rFonts w:ascii="Times New Roman" w:hAnsi="Times New Roman"/>
          <w:b w:val="0"/>
          <w:i w:val="0"/>
          <w:color w:val="000000"/>
        </w:rPr>
        <w:t xml:space="preserve"> </w:t>
      </w:r>
      <w:r w:rsidRPr="009B1FAB">
        <w:rPr>
          <w:rFonts w:ascii="Times New Roman" w:hAnsi="Times New Roman"/>
          <w:i w:val="0"/>
          <w:color w:val="000000"/>
        </w:rPr>
        <w:t>If you want to explore setting up a 529 plan, call us</w:t>
      </w:r>
      <w:r>
        <w:rPr>
          <w:rFonts w:ascii="Times New Roman" w:hAnsi="Times New Roman"/>
          <w:i w:val="0"/>
          <w:color w:val="000000"/>
        </w:rPr>
        <w:t>.</w:t>
      </w:r>
    </w:p>
    <w:p w:rsidR="00FE129D" w:rsidRPr="00FE129D" w:rsidRDefault="00FE129D" w:rsidP="00771AC6">
      <w:pPr>
        <w:pStyle w:val="IntenseQuote"/>
        <w:pBdr>
          <w:bottom w:val="none" w:sz="0" w:space="0" w:color="auto"/>
        </w:pBdr>
        <w:spacing w:after="0" w:line="240" w:lineRule="auto"/>
        <w:ind w:left="0" w:right="0"/>
        <w:jc w:val="both"/>
        <w:rPr>
          <w:rFonts w:ascii="Times New Roman" w:hAnsi="Times New Roman"/>
          <w:i w:val="0"/>
          <w:iCs w:val="0"/>
          <w:color w:val="2F5496" w:themeColor="accent5" w:themeShade="BF"/>
          <w:sz w:val="28"/>
          <w:szCs w:val="24"/>
        </w:rPr>
      </w:pPr>
      <w:r>
        <w:rPr>
          <w:rFonts w:ascii="Times New Roman" w:hAnsi="Times New Roman"/>
          <w:i w:val="0"/>
          <w:iCs w:val="0"/>
          <w:color w:val="2F5496" w:themeColor="accent5" w:themeShade="BF"/>
          <w:sz w:val="28"/>
          <w:szCs w:val="24"/>
        </w:rPr>
        <w:t>— Maximizing</w:t>
      </w:r>
      <w:r w:rsidRPr="00C80F36">
        <w:rPr>
          <w:rFonts w:ascii="Times New Roman" w:hAnsi="Times New Roman"/>
          <w:i w:val="0"/>
          <w:iCs w:val="0"/>
          <w:color w:val="2F5496" w:themeColor="accent5" w:themeShade="BF"/>
          <w:sz w:val="28"/>
          <w:szCs w:val="24"/>
        </w:rPr>
        <w:t xml:space="preserve"> your qualified business income deduction (if applicable)</w:t>
      </w:r>
    </w:p>
    <w:p w:rsidR="00FE129D" w:rsidRDefault="00FE129D" w:rsidP="00D77039">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hAnsi="Times New Roman"/>
          <w:b w:val="0"/>
          <w:i w:val="0"/>
          <w:color w:val="000000"/>
        </w:rPr>
        <w:t>One of the most talked about changes from the Tax Cuts and Jobs Act is the new qualified business income deduction under Section 199A. Taxpayers who own interests in a sole proprietorship, partnership, LLC, or S corporation may be able to deduct up to 20 percent of their qualified business income. Please be careful, because this deduction is subject to various rules and limitations.</w:t>
      </w:r>
      <w:r>
        <w:rPr>
          <w:rFonts w:ascii="Times New Roman" w:hAnsi="Times New Roman"/>
          <w:b w:val="0"/>
          <w:i w:val="0"/>
          <w:color w:val="000000"/>
        </w:rPr>
        <w:t xml:space="preserve">  </w:t>
      </w:r>
    </w:p>
    <w:p w:rsidR="00FE129D" w:rsidRDefault="00FE129D" w:rsidP="00771AC6">
      <w:pPr>
        <w:pStyle w:val="IntenseQuote"/>
        <w:pBdr>
          <w:bottom w:val="none" w:sz="0" w:space="0" w:color="auto"/>
        </w:pBdr>
        <w:spacing w:after="0" w:line="240" w:lineRule="auto"/>
        <w:ind w:left="0" w:right="0"/>
        <w:jc w:val="both"/>
        <w:rPr>
          <w:rFonts w:ascii="Times New Roman" w:hAnsi="Times New Roman"/>
          <w:i w:val="0"/>
          <w:color w:val="000000"/>
        </w:rPr>
      </w:pPr>
      <w:r>
        <w:rPr>
          <w:rFonts w:ascii="Times New Roman" w:hAnsi="Times New Roman"/>
          <w:b w:val="0"/>
          <w:i w:val="0"/>
          <w:color w:val="000000"/>
        </w:rPr>
        <w:t>There</w:t>
      </w:r>
      <w:r w:rsidRPr="00035AAA">
        <w:rPr>
          <w:rFonts w:ascii="Times New Roman" w:hAnsi="Times New Roman"/>
          <w:b w:val="0"/>
          <w:i w:val="0"/>
          <w:color w:val="000000"/>
        </w:rPr>
        <w:t xml:space="preserve"> are some planning strategies that should be considered for business owners. For example, </w:t>
      </w:r>
      <w:r>
        <w:rPr>
          <w:rFonts w:ascii="Times New Roman" w:hAnsi="Times New Roman"/>
          <w:b w:val="0"/>
          <w:i w:val="0"/>
          <w:color w:val="000000"/>
        </w:rPr>
        <w:t>business owners</w:t>
      </w:r>
      <w:r w:rsidRPr="00035AAA">
        <w:rPr>
          <w:rFonts w:ascii="Times New Roman" w:hAnsi="Times New Roman"/>
          <w:b w:val="0"/>
          <w:i w:val="0"/>
          <w:color w:val="000000"/>
        </w:rPr>
        <w:t xml:space="preserve"> can adjust their business’s W-2 wages to maximize the deduction. Also, it may be beneficial for </w:t>
      </w:r>
      <w:r>
        <w:rPr>
          <w:rFonts w:ascii="Times New Roman" w:hAnsi="Times New Roman"/>
          <w:b w:val="0"/>
          <w:i w:val="0"/>
          <w:color w:val="000000"/>
        </w:rPr>
        <w:t>business owners</w:t>
      </w:r>
      <w:r w:rsidRPr="00035AAA">
        <w:rPr>
          <w:rFonts w:ascii="Times New Roman" w:hAnsi="Times New Roman"/>
          <w:b w:val="0"/>
          <w:i w:val="0"/>
          <w:color w:val="000000"/>
        </w:rPr>
        <w:t xml:space="preserve"> to convert their independent contractors to employees where possible, but </w:t>
      </w:r>
      <w:r>
        <w:rPr>
          <w:rFonts w:ascii="Times New Roman" w:hAnsi="Times New Roman"/>
          <w:b w:val="0"/>
          <w:i w:val="0"/>
          <w:color w:val="000000"/>
        </w:rPr>
        <w:t xml:space="preserve">before doing so, please </w:t>
      </w:r>
      <w:r w:rsidRPr="00035AAA">
        <w:rPr>
          <w:rFonts w:ascii="Times New Roman" w:hAnsi="Times New Roman"/>
          <w:b w:val="0"/>
          <w:i w:val="0"/>
          <w:color w:val="000000"/>
        </w:rPr>
        <w:t>make sure the benefit of the deduction outweighs the increased payroll tax burden and cost of providing employee benefits. Other planning strategies can include investing in short-lived depreciable assets, restructuring the business</w:t>
      </w:r>
      <w:r w:rsidR="004967A0">
        <w:rPr>
          <w:rFonts w:ascii="Times New Roman" w:hAnsi="Times New Roman"/>
          <w:b w:val="0"/>
          <w:i w:val="0"/>
          <w:color w:val="000000"/>
        </w:rPr>
        <w:t xml:space="preserve">, and </w:t>
      </w:r>
      <w:r w:rsidRPr="00035AAA">
        <w:rPr>
          <w:rFonts w:ascii="Times New Roman" w:hAnsi="Times New Roman"/>
          <w:b w:val="0"/>
          <w:i w:val="0"/>
          <w:color w:val="000000"/>
        </w:rPr>
        <w:t>leasing</w:t>
      </w:r>
      <w:r w:rsidR="004967A0">
        <w:rPr>
          <w:rFonts w:ascii="Times New Roman" w:hAnsi="Times New Roman"/>
          <w:b w:val="0"/>
          <w:i w:val="0"/>
          <w:color w:val="000000"/>
        </w:rPr>
        <w:t xml:space="preserve"> or</w:t>
      </w:r>
      <w:r w:rsidRPr="00035AAA">
        <w:rPr>
          <w:rFonts w:ascii="Times New Roman" w:hAnsi="Times New Roman"/>
          <w:b w:val="0"/>
          <w:i w:val="0"/>
          <w:color w:val="000000"/>
        </w:rPr>
        <w:t xml:space="preserve"> selling property between businesses.</w:t>
      </w:r>
      <w:r>
        <w:rPr>
          <w:rFonts w:ascii="Times New Roman" w:hAnsi="Times New Roman"/>
          <w:b w:val="0"/>
          <w:i w:val="0"/>
          <w:color w:val="000000"/>
        </w:rPr>
        <w:t xml:space="preserve">  </w:t>
      </w:r>
      <w:r w:rsidRPr="003C5267">
        <w:rPr>
          <w:rFonts w:ascii="Times New Roman" w:hAnsi="Times New Roman"/>
          <w:i w:val="0"/>
          <w:color w:val="000000"/>
        </w:rPr>
        <w:t xml:space="preserve">This new piece </w:t>
      </w:r>
      <w:r>
        <w:rPr>
          <w:rFonts w:ascii="Times New Roman" w:hAnsi="Times New Roman"/>
          <w:i w:val="0"/>
          <w:color w:val="000000"/>
        </w:rPr>
        <w:t xml:space="preserve">of tax legislation would take an </w:t>
      </w:r>
      <w:r w:rsidRPr="003C5267">
        <w:rPr>
          <w:rFonts w:ascii="Times New Roman" w:hAnsi="Times New Roman"/>
          <w:i w:val="0"/>
          <w:color w:val="000000"/>
        </w:rPr>
        <w:t>entire report to discuss, so we recommend that if you are a business owner, you should talk with a qualified tax professional about how this new Section 199A could potentially work for you.</w:t>
      </w:r>
    </w:p>
    <w:p w:rsidR="00FE129D" w:rsidRPr="00FE129D" w:rsidRDefault="00FE129D" w:rsidP="00771AC6">
      <w:pPr>
        <w:rPr>
          <w:sz w:val="8"/>
        </w:rPr>
      </w:pPr>
    </w:p>
    <w:p w:rsidR="0073345E" w:rsidRDefault="005C77D1" w:rsidP="0073345E">
      <w:pPr>
        <w:shd w:val="clear" w:color="auto" w:fill="FFFFFF"/>
        <w:spacing w:after="0"/>
        <w:jc w:val="both"/>
        <w:rPr>
          <w:rFonts w:ascii="Times New Roman" w:hAnsi="Times New Roman"/>
          <w:b/>
          <w:i/>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Consider All of Your Retirement Savings Options for 2018</w:t>
      </w:r>
      <w:r w:rsidRPr="002E41F1">
        <w:rPr>
          <w:rFonts w:ascii="Times New Roman" w:hAnsi="Times New Roman"/>
          <w:b/>
          <w:i/>
          <w:color w:val="1F4E79" w:themeColor="accent1" w:themeShade="80"/>
          <w:sz w:val="40"/>
          <w:szCs w:val="40"/>
          <w:shd w:val="clear" w:color="auto" w:fill="9CC2E5" w:themeFill="accent1" w:themeFillTint="99"/>
        </w:rPr>
        <w:tab/>
      </w:r>
      <w:r w:rsidRPr="002E41F1">
        <w:rPr>
          <w:rFonts w:ascii="Times New Roman" w:hAnsi="Times New Roman"/>
          <w:b/>
          <w:i/>
          <w:color w:val="1F4E79" w:themeColor="accent1" w:themeShade="80"/>
          <w:sz w:val="40"/>
          <w:szCs w:val="40"/>
          <w:shd w:val="clear" w:color="auto" w:fill="9CC2E5" w:themeFill="accent1" w:themeFillTint="99"/>
        </w:rPr>
        <w:tab/>
      </w:r>
    </w:p>
    <w:p w:rsidR="00456334" w:rsidRPr="0073345E" w:rsidRDefault="005C77D1" w:rsidP="0073345E">
      <w:pPr>
        <w:shd w:val="clear" w:color="auto" w:fill="FFFFFF"/>
        <w:spacing w:after="0" w:line="240" w:lineRule="auto"/>
        <w:jc w:val="both"/>
        <w:rPr>
          <w:rFonts w:ascii="Times New Roman" w:hAnsi="Times New Roman"/>
          <w:b/>
          <w:i/>
          <w:color w:val="1F4B15"/>
          <w:sz w:val="40"/>
          <w:szCs w:val="40"/>
        </w:rPr>
      </w:pPr>
      <w:r w:rsidRPr="00035AAA">
        <w:rPr>
          <w:rFonts w:ascii="Times New Roman" w:eastAsia="Times New Roman" w:hAnsi="Times New Roman"/>
          <w:sz w:val="26"/>
          <w:szCs w:val="26"/>
        </w:rPr>
        <w:t>If you have earned income or are working, you should consider contributing to retirement plans.</w:t>
      </w:r>
      <w:r w:rsidRPr="00084863">
        <w:rPr>
          <w:rFonts w:ascii="Times New Roman" w:hAnsi="Times New Roman"/>
          <w:color w:val="2F5496" w:themeColor="accent5" w:themeShade="BF"/>
          <w:sz w:val="24"/>
          <w:szCs w:val="24"/>
        </w:rPr>
        <w:t xml:space="preserve"> </w:t>
      </w:r>
      <w:r w:rsidRPr="00084863">
        <w:rPr>
          <w:rFonts w:ascii="Times New Roman" w:eastAsia="Times New Roman" w:hAnsi="Times New Roman"/>
          <w:sz w:val="24"/>
          <w:szCs w:val="24"/>
        </w:rPr>
        <w:t xml:space="preserve"> </w:t>
      </w:r>
      <w:r w:rsidRPr="00035AAA">
        <w:rPr>
          <w:rFonts w:ascii="Times New Roman" w:hAnsi="Times New Roman"/>
          <w:color w:val="000000"/>
        </w:rPr>
        <w:t xml:space="preserve">This is an ideal time to make sure you maximize your intended use of retirement plans for 2018 and start thinking about your strategy for 2019.  For many investors, retirement contributions represent one of the smarter tax moves that they can make.  </w:t>
      </w:r>
    </w:p>
    <w:p w:rsidR="005C77D1" w:rsidRPr="00456334" w:rsidRDefault="005C77D1" w:rsidP="00771AC6">
      <w:pPr>
        <w:pStyle w:val="IntenseQuote"/>
        <w:pBdr>
          <w:bottom w:val="none" w:sz="0" w:space="0" w:color="auto"/>
        </w:pBdr>
        <w:spacing w:after="0" w:line="240" w:lineRule="auto"/>
        <w:ind w:left="0" w:right="0"/>
        <w:jc w:val="both"/>
        <w:rPr>
          <w:rFonts w:ascii="Times New Roman" w:hAnsi="Times New Roman"/>
          <w:b w:val="0"/>
          <w:i w:val="0"/>
          <w:color w:val="000000"/>
        </w:rPr>
      </w:pPr>
      <w:r w:rsidRPr="00035AAA">
        <w:rPr>
          <w:rFonts w:ascii="Times New Roman" w:eastAsia="Times New Roman" w:hAnsi="Times New Roman"/>
          <w:sz w:val="26"/>
          <w:szCs w:val="26"/>
        </w:rPr>
        <w:t>Here are some retirement plan strategies we’d like to highlight:</w:t>
      </w:r>
    </w:p>
    <w:p w:rsidR="005C77D1" w:rsidRPr="00BB4F2A" w:rsidRDefault="005C77D1" w:rsidP="00771AC6">
      <w:pPr>
        <w:shd w:val="clear" w:color="auto" w:fill="FFFFFF"/>
        <w:spacing w:before="100" w:beforeAutospacing="1" w:after="100" w:afterAutospacing="1"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 xml:space="preserve">401(k) contribution limits </w:t>
      </w:r>
      <w:r w:rsidR="00084863" w:rsidRPr="00BB4F2A">
        <w:rPr>
          <w:rFonts w:ascii="Times New Roman" w:hAnsi="Times New Roman"/>
          <w:b/>
          <w:bCs/>
          <w:color w:val="2F5496" w:themeColor="accent5" w:themeShade="BF"/>
          <w:sz w:val="24"/>
          <w:szCs w:val="26"/>
          <w:u w:val="single"/>
        </w:rPr>
        <w:t>increased</w:t>
      </w:r>
      <w:r w:rsidRPr="00BB4F2A">
        <w:rPr>
          <w:rFonts w:ascii="Times New Roman" w:hAnsi="Times New Roman"/>
          <w:b/>
          <w:bCs/>
          <w:color w:val="2F5496" w:themeColor="accent5" w:themeShade="BF"/>
          <w:sz w:val="24"/>
          <w:szCs w:val="26"/>
          <w:u w:val="single"/>
        </w:rPr>
        <w:t>.</w:t>
      </w:r>
      <w:r w:rsidRPr="00BB4F2A">
        <w:rPr>
          <w:rFonts w:ascii="Times New Roman" w:eastAsia="Times New Roman" w:hAnsi="Times New Roman"/>
          <w:color w:val="2F5496" w:themeColor="accent5" w:themeShade="BF"/>
          <w:sz w:val="28"/>
          <w:szCs w:val="24"/>
        </w:rPr>
        <w:t xml:space="preserve">  </w:t>
      </w:r>
      <w:r w:rsidRPr="00BB4F2A">
        <w:rPr>
          <w:rFonts w:ascii="Times New Roman" w:eastAsia="Times New Roman" w:hAnsi="Times New Roman"/>
          <w:szCs w:val="24"/>
        </w:rPr>
        <w:t>The elective deferral (contribution) limit for employees under the age of 50 who participate in 401(k), 403(b), most 457 plans, and the federal government’s Thrift Savings Plan is $18,</w:t>
      </w:r>
      <w:r w:rsidR="00084863" w:rsidRPr="00BB4F2A">
        <w:rPr>
          <w:rFonts w:ascii="Times New Roman" w:eastAsia="Times New Roman" w:hAnsi="Times New Roman"/>
          <w:szCs w:val="24"/>
        </w:rPr>
        <w:t>5</w:t>
      </w:r>
      <w:r w:rsidRPr="00BB4F2A">
        <w:rPr>
          <w:rFonts w:ascii="Times New Roman" w:eastAsia="Times New Roman" w:hAnsi="Times New Roman"/>
          <w:szCs w:val="24"/>
        </w:rPr>
        <w:t>00</w:t>
      </w:r>
      <w:r w:rsidR="00084863" w:rsidRPr="00BB4F2A">
        <w:rPr>
          <w:rFonts w:ascii="Times New Roman" w:eastAsia="Times New Roman" w:hAnsi="Times New Roman"/>
          <w:szCs w:val="24"/>
        </w:rPr>
        <w:t>, up from $18,000.</w:t>
      </w:r>
      <w:r w:rsidR="00897C19">
        <w:rPr>
          <w:rFonts w:ascii="Times New Roman" w:eastAsia="Times New Roman" w:hAnsi="Times New Roman"/>
          <w:szCs w:val="24"/>
        </w:rPr>
        <w:t xml:space="preserve"> </w:t>
      </w:r>
      <w:r w:rsidR="00897C19" w:rsidRPr="004B0469">
        <w:rPr>
          <w:rFonts w:ascii="Times New Roman" w:eastAsia="Times New Roman" w:hAnsi="Times New Roman"/>
          <w:b/>
          <w:szCs w:val="24"/>
        </w:rPr>
        <w:t>(On November 1, 2018, the IRS announced an increase to $19,000 for 2019.)</w:t>
      </w:r>
      <w:r w:rsidRPr="00BB4F2A">
        <w:rPr>
          <w:rFonts w:ascii="Times New Roman" w:eastAsia="Times New Roman" w:hAnsi="Times New Roman"/>
          <w:szCs w:val="24"/>
        </w:rPr>
        <w:t xml:space="preserve">  The catch-up contribution limit for employees aged 50 and over who participate in 401(k), 403(b), most 457 plans, and the federal government’s Thrift Savings Plan </w:t>
      </w:r>
      <w:r w:rsidR="00084863" w:rsidRPr="00BB4F2A">
        <w:rPr>
          <w:rFonts w:ascii="Times New Roman" w:eastAsia="Times New Roman" w:hAnsi="Times New Roman"/>
          <w:szCs w:val="24"/>
        </w:rPr>
        <w:t xml:space="preserve">remains at an additional </w:t>
      </w:r>
      <w:r w:rsidRPr="00BB4F2A">
        <w:rPr>
          <w:rFonts w:ascii="Times New Roman" w:eastAsia="Times New Roman" w:hAnsi="Times New Roman"/>
          <w:szCs w:val="24"/>
        </w:rPr>
        <w:t>$6,000 ($24,</w:t>
      </w:r>
      <w:r w:rsidR="00084863" w:rsidRPr="00BB4F2A">
        <w:rPr>
          <w:rFonts w:ascii="Times New Roman" w:eastAsia="Times New Roman" w:hAnsi="Times New Roman"/>
          <w:szCs w:val="24"/>
        </w:rPr>
        <w:t>5</w:t>
      </w:r>
      <w:r w:rsidRPr="00BB4F2A">
        <w:rPr>
          <w:rFonts w:ascii="Times New Roman" w:eastAsia="Times New Roman" w:hAnsi="Times New Roman"/>
          <w:szCs w:val="24"/>
        </w:rPr>
        <w:t xml:space="preserve">00 total).  </w:t>
      </w:r>
      <w:r w:rsidRPr="00BB4F2A">
        <w:rPr>
          <w:rFonts w:ascii="Times New Roman" w:eastAsia="Times New Roman" w:hAnsi="Times New Roman"/>
          <w:b/>
          <w:szCs w:val="24"/>
        </w:rPr>
        <w:t xml:space="preserve">As a reminder, these contributions must be made in 2018. </w:t>
      </w:r>
    </w:p>
    <w:p w:rsidR="005C77D1" w:rsidRPr="00BB4F2A" w:rsidRDefault="005C77D1" w:rsidP="00E91317">
      <w:pPr>
        <w:shd w:val="clear" w:color="auto" w:fill="FFFFFF"/>
        <w:spacing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IRA contribution limits unchanged.</w:t>
      </w:r>
      <w:r w:rsidRPr="00BB4F2A">
        <w:rPr>
          <w:rFonts w:ascii="Times New Roman" w:hAnsi="Times New Roman"/>
          <w:sz w:val="28"/>
          <w:szCs w:val="24"/>
        </w:rPr>
        <w:t> </w:t>
      </w:r>
      <w:r w:rsidRPr="00BB4F2A">
        <w:rPr>
          <w:rFonts w:ascii="Times New Roman" w:eastAsia="Times New Roman" w:hAnsi="Times New Roman"/>
          <w:szCs w:val="24"/>
        </w:rPr>
        <w:t>The limit on annual contributions to an Individual Retirement Account (IRA) remains unchanged at $5,500. </w:t>
      </w:r>
      <w:r w:rsidR="00897C19" w:rsidRPr="004B0469">
        <w:rPr>
          <w:rFonts w:ascii="Times New Roman" w:eastAsia="Times New Roman" w:hAnsi="Times New Roman"/>
          <w:b/>
          <w:szCs w:val="24"/>
        </w:rPr>
        <w:t>(On November 1, 2018, the IRS announced an increase to $6,000, the first adjustment since 2013).</w:t>
      </w:r>
      <w:r w:rsidRPr="00BB4F2A">
        <w:rPr>
          <w:rFonts w:ascii="Times New Roman" w:eastAsia="Times New Roman" w:hAnsi="Times New Roman"/>
          <w:szCs w:val="24"/>
        </w:rPr>
        <w:t xml:space="preserve"> The additional catch-up contribution limit for individuals aged 50 and over is not subject to an annual cost-of-living adjustment and remains $1,000 (for a total of $6,500).  </w:t>
      </w:r>
      <w:r w:rsidRPr="00BB4F2A">
        <w:rPr>
          <w:rFonts w:ascii="Times New Roman" w:eastAsia="Times New Roman" w:hAnsi="Times New Roman"/>
          <w:b/>
          <w:szCs w:val="24"/>
        </w:rPr>
        <w:t xml:space="preserve">IRA contributions </w:t>
      </w:r>
      <w:r w:rsidR="00961D8E">
        <w:rPr>
          <w:rFonts w:ascii="Times New Roman" w:eastAsia="Times New Roman" w:hAnsi="Times New Roman"/>
          <w:b/>
          <w:szCs w:val="24"/>
        </w:rPr>
        <w:t xml:space="preserve">for 2018 </w:t>
      </w:r>
      <w:r w:rsidRPr="00BB4F2A">
        <w:rPr>
          <w:rFonts w:ascii="Times New Roman" w:eastAsia="Times New Roman" w:hAnsi="Times New Roman"/>
          <w:b/>
          <w:szCs w:val="24"/>
        </w:rPr>
        <w:t xml:space="preserve">can be made all the way up to the April </w:t>
      </w:r>
      <w:r w:rsidR="00975B95" w:rsidRPr="00BB4F2A">
        <w:rPr>
          <w:rFonts w:ascii="Times New Roman" w:eastAsia="Times New Roman" w:hAnsi="Times New Roman"/>
          <w:b/>
          <w:szCs w:val="24"/>
        </w:rPr>
        <w:t xml:space="preserve">15, 2019 filing deadline. </w:t>
      </w:r>
    </w:p>
    <w:p w:rsidR="005C77D1" w:rsidRPr="00BB4F2A" w:rsidRDefault="005C77D1" w:rsidP="00E91317">
      <w:pPr>
        <w:shd w:val="clear" w:color="auto" w:fill="FFFFFF"/>
        <w:spacing w:before="100" w:beforeAutospacing="1"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lastRenderedPageBreak/>
        <w:t>Higher IRA income limits. </w:t>
      </w:r>
      <w:r w:rsidRPr="00BB4F2A">
        <w:rPr>
          <w:rFonts w:ascii="Times New Roman" w:eastAsia="Times New Roman" w:hAnsi="Times New Roman"/>
          <w:szCs w:val="24"/>
        </w:rPr>
        <w:t>The deduction for taxpayers making contributions to a traditional IRA is phased out for singles and heads of household who are covered by a workplace retirement plan and have modified adjusted gross incomes (MAGI) of $6</w:t>
      </w:r>
      <w:r w:rsidR="00975B95" w:rsidRPr="00BB4F2A">
        <w:rPr>
          <w:rFonts w:ascii="Times New Roman" w:eastAsia="Times New Roman" w:hAnsi="Times New Roman"/>
          <w:szCs w:val="24"/>
        </w:rPr>
        <w:t>3</w:t>
      </w:r>
      <w:r w:rsidRPr="00BB4F2A">
        <w:rPr>
          <w:rFonts w:ascii="Times New Roman" w:eastAsia="Times New Roman" w:hAnsi="Times New Roman"/>
          <w:szCs w:val="24"/>
        </w:rPr>
        <w:t>,000 and $7</w:t>
      </w:r>
      <w:r w:rsidR="00975B95" w:rsidRPr="00BB4F2A">
        <w:rPr>
          <w:rFonts w:ascii="Times New Roman" w:eastAsia="Times New Roman" w:hAnsi="Times New Roman"/>
          <w:szCs w:val="24"/>
        </w:rPr>
        <w:t>3</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married couples filing jointly, in which the spouse who makes the IRA contribution is covered by a workplace retirement plan, the income phase-out range is $</w:t>
      </w:r>
      <w:r w:rsidR="00975B95" w:rsidRPr="00BB4F2A">
        <w:rPr>
          <w:rFonts w:ascii="Times New Roman" w:eastAsia="Times New Roman" w:hAnsi="Times New Roman"/>
          <w:szCs w:val="24"/>
        </w:rPr>
        <w:t>101</w:t>
      </w:r>
      <w:r w:rsidRPr="00BB4F2A">
        <w:rPr>
          <w:rFonts w:ascii="Times New Roman" w:eastAsia="Times New Roman" w:hAnsi="Times New Roman"/>
          <w:szCs w:val="24"/>
        </w:rPr>
        <w:t>,000 to $1</w:t>
      </w:r>
      <w:r w:rsidR="00975B95" w:rsidRPr="00BB4F2A">
        <w:rPr>
          <w:rFonts w:ascii="Times New Roman" w:eastAsia="Times New Roman" w:hAnsi="Times New Roman"/>
          <w:szCs w:val="24"/>
        </w:rPr>
        <w:t>21</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an IRA contributor who is not covered by a workplace retirement plan and is married to someone who is covered, the deduction is phased out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as the couple’s income reaches $18</w:t>
      </w:r>
      <w:r w:rsidR="00975B95" w:rsidRPr="00BB4F2A">
        <w:rPr>
          <w:rFonts w:ascii="Times New Roman" w:eastAsia="Times New Roman" w:hAnsi="Times New Roman"/>
          <w:szCs w:val="24"/>
        </w:rPr>
        <w:t>9</w:t>
      </w:r>
      <w:r w:rsidRPr="00BB4F2A">
        <w:rPr>
          <w:rFonts w:ascii="Times New Roman" w:eastAsia="Times New Roman" w:hAnsi="Times New Roman"/>
          <w:szCs w:val="24"/>
        </w:rPr>
        <w:t>,000 and completely at $19</w:t>
      </w:r>
      <w:r w:rsidR="00975B95" w:rsidRPr="00BB4F2A">
        <w:rPr>
          <w:rFonts w:ascii="Times New Roman" w:eastAsia="Times New Roman" w:hAnsi="Times New Roman"/>
          <w:szCs w:val="24"/>
        </w:rPr>
        <w:t>9</w:t>
      </w:r>
      <w:r w:rsidRPr="00BB4F2A">
        <w:rPr>
          <w:rFonts w:ascii="Times New Roman" w:eastAsia="Times New Roman" w:hAnsi="Times New Roman"/>
          <w:szCs w:val="24"/>
        </w:rPr>
        <w:t>,000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a married individual filing a separate return who is covered by a workplace retirement plan, the phase-out range is $0 to $10,000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r w:rsidRPr="00BB4F2A">
        <w:rPr>
          <w:noProof/>
          <w:szCs w:val="24"/>
        </w:rPr>
        <w:t xml:space="preserve"> </w:t>
      </w:r>
    </w:p>
    <w:p w:rsidR="007F6ED0" w:rsidRDefault="005C77D1" w:rsidP="00E91317">
      <w:pPr>
        <w:shd w:val="clear" w:color="auto" w:fill="FFFFFF"/>
        <w:spacing w:before="100" w:beforeAutospacing="1" w:after="0" w:line="240" w:lineRule="auto"/>
        <w:jc w:val="both"/>
        <w:rPr>
          <w:rFonts w:ascii="Times New Roman" w:eastAsia="Times New Roman" w:hAnsi="Times New Roman"/>
          <w:b/>
          <w:szCs w:val="24"/>
        </w:rPr>
      </w:pPr>
      <w:r w:rsidRPr="00BB4F2A">
        <w:rPr>
          <w:rFonts w:ascii="Times New Roman" w:hAnsi="Times New Roman"/>
          <w:b/>
          <w:bCs/>
          <w:color w:val="2F5496" w:themeColor="accent5" w:themeShade="BF"/>
          <w:sz w:val="24"/>
          <w:szCs w:val="26"/>
          <w:u w:val="single"/>
        </w:rPr>
        <w:t>Increased Roth IRA income cutoffs.</w:t>
      </w:r>
      <w:r w:rsidRPr="00BB4F2A">
        <w:rPr>
          <w:rFonts w:ascii="Times New Roman" w:hAnsi="Times New Roman"/>
          <w:color w:val="2F5496" w:themeColor="accent5" w:themeShade="BF"/>
          <w:sz w:val="28"/>
          <w:szCs w:val="24"/>
        </w:rPr>
        <w:t> </w:t>
      </w:r>
      <w:r w:rsidRPr="00BB4F2A">
        <w:rPr>
          <w:rFonts w:ascii="Times New Roman" w:eastAsia="Times New Roman" w:hAnsi="Times New Roman"/>
          <w:szCs w:val="24"/>
        </w:rPr>
        <w:t>The MAGI phase-out range for taxpayers making contributions to a Roth IRA is $18</w:t>
      </w:r>
      <w:r w:rsidR="00975B95" w:rsidRPr="00BB4F2A">
        <w:rPr>
          <w:rFonts w:ascii="Times New Roman" w:eastAsia="Times New Roman" w:hAnsi="Times New Roman"/>
          <w:szCs w:val="24"/>
        </w:rPr>
        <w:t>9</w:t>
      </w:r>
      <w:r w:rsidRPr="00BB4F2A">
        <w:rPr>
          <w:rFonts w:ascii="Times New Roman" w:eastAsia="Times New Roman" w:hAnsi="Times New Roman"/>
          <w:szCs w:val="24"/>
        </w:rPr>
        <w:t>,000 to $19</w:t>
      </w:r>
      <w:r w:rsidR="00975B95" w:rsidRPr="00BB4F2A">
        <w:rPr>
          <w:rFonts w:ascii="Times New Roman" w:eastAsia="Times New Roman" w:hAnsi="Times New Roman"/>
          <w:szCs w:val="24"/>
        </w:rPr>
        <w:t>9</w:t>
      </w:r>
      <w:r w:rsidRPr="00BB4F2A">
        <w:rPr>
          <w:rFonts w:ascii="Times New Roman" w:eastAsia="Times New Roman" w:hAnsi="Times New Roman"/>
          <w:szCs w:val="24"/>
        </w:rPr>
        <w:t>,000 for married couples filing jointly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For singles and heads of household, the income phase-out range is $1</w:t>
      </w:r>
      <w:r w:rsidR="00975B95" w:rsidRPr="00BB4F2A">
        <w:rPr>
          <w:rFonts w:ascii="Times New Roman" w:eastAsia="Times New Roman" w:hAnsi="Times New Roman"/>
          <w:szCs w:val="24"/>
        </w:rPr>
        <w:t>20</w:t>
      </w:r>
      <w:r w:rsidRPr="00BB4F2A">
        <w:rPr>
          <w:rFonts w:ascii="Times New Roman" w:eastAsia="Times New Roman" w:hAnsi="Times New Roman"/>
          <w:szCs w:val="24"/>
        </w:rPr>
        <w:t>,000 to $13</w:t>
      </w:r>
      <w:r w:rsidR="00975B95" w:rsidRPr="00BB4F2A">
        <w:rPr>
          <w:rFonts w:ascii="Times New Roman" w:eastAsia="Times New Roman" w:hAnsi="Times New Roman"/>
          <w:szCs w:val="24"/>
        </w:rPr>
        <w:t>5</w:t>
      </w:r>
      <w:r w:rsidRPr="00BB4F2A">
        <w:rPr>
          <w:rFonts w:ascii="Times New Roman" w:eastAsia="Times New Roman" w:hAnsi="Times New Roman"/>
          <w:szCs w:val="24"/>
        </w:rPr>
        <w:t>,000 in 201</w:t>
      </w:r>
      <w:r w:rsidR="004A4EB6">
        <w:rPr>
          <w:rFonts w:ascii="Times New Roman" w:eastAsia="Times New Roman" w:hAnsi="Times New Roman"/>
          <w:szCs w:val="24"/>
        </w:rPr>
        <w:t>8</w:t>
      </w:r>
      <w:r w:rsidRPr="00BB4F2A">
        <w:rPr>
          <w:rFonts w:ascii="Times New Roman" w:eastAsia="Times New Roman" w:hAnsi="Times New Roman"/>
          <w:szCs w:val="24"/>
        </w:rPr>
        <w:t>.  For a married individual filing a separate return, the phase-out range is $0 to $10,000 for 201</w:t>
      </w:r>
      <w:r w:rsidR="00975B95" w:rsidRPr="00BB4F2A">
        <w:rPr>
          <w:rFonts w:ascii="Times New Roman" w:eastAsia="Times New Roman" w:hAnsi="Times New Roman"/>
          <w:szCs w:val="24"/>
        </w:rPr>
        <w:t>8</w:t>
      </w:r>
      <w:r w:rsidRPr="00BB4F2A">
        <w:rPr>
          <w:rFonts w:ascii="Times New Roman" w:eastAsia="Times New Roman" w:hAnsi="Times New Roman"/>
          <w:szCs w:val="24"/>
        </w:rPr>
        <w:t xml:space="preserve">. </w:t>
      </w:r>
      <w:r w:rsidRPr="00BB4F2A">
        <w:rPr>
          <w:rFonts w:ascii="Times New Roman" w:eastAsia="Times New Roman" w:hAnsi="Times New Roman"/>
          <w:b/>
          <w:szCs w:val="24"/>
        </w:rPr>
        <w:t>Please keep in mind, if your earned income is less than your eligible contribution amount, your maximum contribution amount equals your earned income.</w:t>
      </w:r>
    </w:p>
    <w:p w:rsidR="007F6ED0" w:rsidRPr="007F6ED0" w:rsidRDefault="007F6ED0" w:rsidP="00E91317">
      <w:pPr>
        <w:shd w:val="clear" w:color="auto" w:fill="FFFFFF"/>
        <w:spacing w:before="100" w:beforeAutospacing="1" w:after="0" w:line="240" w:lineRule="auto"/>
        <w:jc w:val="both"/>
        <w:rPr>
          <w:rFonts w:ascii="Times New Roman" w:eastAsia="Times New Roman" w:hAnsi="Times New Roman"/>
          <w:b/>
          <w:sz w:val="2"/>
          <w:szCs w:val="2"/>
        </w:rPr>
      </w:pPr>
    </w:p>
    <w:p w:rsidR="005C77D1" w:rsidRPr="00BB4F2A" w:rsidRDefault="005C77D1" w:rsidP="00E91317">
      <w:pPr>
        <w:shd w:val="clear" w:color="auto" w:fill="FFFFFF"/>
        <w:spacing w:after="0" w:line="240" w:lineRule="auto"/>
        <w:jc w:val="both"/>
        <w:rPr>
          <w:rFonts w:ascii="Times New Roman" w:eastAsia="Times New Roman" w:hAnsi="Times New Roman"/>
          <w:szCs w:val="24"/>
        </w:rPr>
      </w:pPr>
      <w:r w:rsidRPr="00BB4F2A">
        <w:rPr>
          <w:rFonts w:ascii="Times New Roman" w:hAnsi="Times New Roman"/>
          <w:b/>
          <w:bCs/>
          <w:color w:val="2F5496" w:themeColor="accent5" w:themeShade="BF"/>
          <w:sz w:val="24"/>
          <w:szCs w:val="26"/>
          <w:u w:val="single"/>
        </w:rPr>
        <w:t>Larger saver's credit threshold.</w:t>
      </w:r>
      <w:r w:rsidRPr="00BB4F2A">
        <w:rPr>
          <w:rFonts w:ascii="Times New Roman" w:hAnsi="Times New Roman"/>
          <w:color w:val="2F5496" w:themeColor="accent5" w:themeShade="BF"/>
          <w:sz w:val="24"/>
          <w:szCs w:val="24"/>
        </w:rPr>
        <w:t xml:space="preserve"> </w:t>
      </w:r>
      <w:r w:rsidRPr="00BB4F2A">
        <w:rPr>
          <w:rFonts w:ascii="Times New Roman" w:eastAsia="Times New Roman" w:hAnsi="Times New Roman"/>
          <w:szCs w:val="24"/>
        </w:rPr>
        <w:t>The MAGI limit for the saver’s credit (also known as the Retirement Savings Contribution Credit) for low- and moderate-income workers is $6</w:t>
      </w:r>
      <w:r w:rsidR="00975B95" w:rsidRPr="00BB4F2A">
        <w:rPr>
          <w:rFonts w:ascii="Times New Roman" w:eastAsia="Times New Roman" w:hAnsi="Times New Roman"/>
          <w:szCs w:val="24"/>
        </w:rPr>
        <w:t>3</w:t>
      </w:r>
      <w:r w:rsidRPr="00BB4F2A">
        <w:rPr>
          <w:rFonts w:ascii="Times New Roman" w:eastAsia="Times New Roman" w:hAnsi="Times New Roman"/>
          <w:szCs w:val="24"/>
        </w:rPr>
        <w:t>,000 for married couples filing jointly in 201</w:t>
      </w:r>
      <w:r w:rsidR="00975B95" w:rsidRPr="00BB4F2A">
        <w:rPr>
          <w:rFonts w:ascii="Times New Roman" w:eastAsia="Times New Roman" w:hAnsi="Times New Roman"/>
          <w:szCs w:val="24"/>
        </w:rPr>
        <w:t>8</w:t>
      </w:r>
      <w:r w:rsidRPr="00BB4F2A">
        <w:rPr>
          <w:rFonts w:ascii="Times New Roman" w:eastAsia="Times New Roman" w:hAnsi="Times New Roman"/>
          <w:szCs w:val="24"/>
        </w:rPr>
        <w:t>, $4</w:t>
      </w:r>
      <w:r w:rsidR="00975B95" w:rsidRPr="00BB4F2A">
        <w:rPr>
          <w:rFonts w:ascii="Times New Roman" w:eastAsia="Times New Roman" w:hAnsi="Times New Roman"/>
          <w:szCs w:val="24"/>
        </w:rPr>
        <w:t>7,250</w:t>
      </w:r>
      <w:r w:rsidRPr="00BB4F2A">
        <w:rPr>
          <w:rFonts w:ascii="Times New Roman" w:eastAsia="Times New Roman" w:hAnsi="Times New Roman"/>
          <w:szCs w:val="24"/>
        </w:rPr>
        <w:t xml:space="preserve"> for heads of household and $31,</w:t>
      </w:r>
      <w:r w:rsidR="00975B95" w:rsidRPr="00BB4F2A">
        <w:rPr>
          <w:rFonts w:ascii="Times New Roman" w:eastAsia="Times New Roman" w:hAnsi="Times New Roman"/>
          <w:szCs w:val="24"/>
        </w:rPr>
        <w:t>5</w:t>
      </w:r>
      <w:r w:rsidRPr="00BB4F2A">
        <w:rPr>
          <w:rFonts w:ascii="Times New Roman" w:eastAsia="Times New Roman" w:hAnsi="Times New Roman"/>
          <w:szCs w:val="24"/>
        </w:rPr>
        <w:t>00 for all other filers.</w:t>
      </w:r>
    </w:p>
    <w:p w:rsidR="005C77D1" w:rsidRPr="00BB4F2A" w:rsidRDefault="005C77D1" w:rsidP="00E91317">
      <w:pPr>
        <w:shd w:val="clear" w:color="auto" w:fill="FFFFFF"/>
        <w:spacing w:after="0" w:line="240" w:lineRule="auto"/>
        <w:jc w:val="both"/>
        <w:rPr>
          <w:rFonts w:ascii="Times New Roman" w:eastAsia="Times New Roman" w:hAnsi="Times New Roman"/>
          <w:sz w:val="24"/>
          <w:szCs w:val="24"/>
        </w:rPr>
      </w:pPr>
    </w:p>
    <w:p w:rsidR="005C77D1" w:rsidRDefault="005C77D1" w:rsidP="00E91317">
      <w:pPr>
        <w:shd w:val="clear" w:color="auto" w:fill="FFFFFF"/>
        <w:spacing w:after="0" w:line="240" w:lineRule="auto"/>
        <w:jc w:val="both"/>
        <w:rPr>
          <w:rFonts w:ascii="Times New Roman" w:hAnsi="Times New Roman"/>
          <w:b/>
          <w:color w:val="000000"/>
          <w:szCs w:val="24"/>
        </w:rPr>
      </w:pPr>
      <w:r w:rsidRPr="00BB4F2A">
        <w:rPr>
          <w:rFonts w:ascii="Times New Roman" w:hAnsi="Times New Roman"/>
          <w:b/>
          <w:bCs/>
          <w:color w:val="2F5496" w:themeColor="accent5" w:themeShade="BF"/>
          <w:sz w:val="24"/>
          <w:szCs w:val="26"/>
          <w:u w:val="single"/>
        </w:rPr>
        <w:t>Be careful of the IRA one rollover rule.</w:t>
      </w:r>
      <w:r w:rsidRPr="00BB4F2A">
        <w:rPr>
          <w:rFonts w:ascii="Times New Roman" w:eastAsia="Times New Roman" w:hAnsi="Times New Roman"/>
          <w:sz w:val="28"/>
          <w:szCs w:val="24"/>
        </w:rPr>
        <w:t xml:space="preserve"> </w:t>
      </w:r>
      <w:r w:rsidRPr="00BB4F2A">
        <w:rPr>
          <w:rFonts w:ascii="Times New Roman" w:eastAsia="Times New Roman" w:hAnsi="Times New Roman"/>
          <w:szCs w:val="24"/>
        </w:rPr>
        <w:t xml:space="preserve">IRA investors were always limited to one rollover per year, per IRA. Investors are still limited to make only one rollover from </w:t>
      </w:r>
      <w:r w:rsidRPr="00BB4F2A">
        <w:rPr>
          <w:rFonts w:ascii="Times New Roman" w:eastAsia="Times New Roman" w:hAnsi="Times New Roman"/>
          <w:b/>
          <w:szCs w:val="24"/>
          <w:u w:val="single"/>
        </w:rPr>
        <w:t>all</w:t>
      </w:r>
      <w:r w:rsidRPr="00BB4F2A">
        <w:rPr>
          <w:rFonts w:ascii="Times New Roman" w:eastAsia="Times New Roman" w:hAnsi="Times New Roman"/>
          <w:b/>
          <w:szCs w:val="24"/>
        </w:rPr>
        <w:t xml:space="preserve"> </w:t>
      </w:r>
      <w:r w:rsidRPr="00BB4F2A">
        <w:rPr>
          <w:rFonts w:ascii="Times New Roman" w:eastAsia="Times New Roman" w:hAnsi="Times New Roman"/>
          <w:szCs w:val="24"/>
        </w:rPr>
        <w:t>of their IRAs to another in any 12-month period. A second IRA-to-IRA rollover in a single year could result in income tax becoming due on the rollover, a 10% early withdrawal penalty, and a 6% per year excess contributions tax as long as that rollover remains in the IRA. Individuals can only make one IRA rollover during any one-year period, but there is no</w:t>
      </w:r>
      <w:r w:rsidRPr="00FE129D">
        <w:rPr>
          <w:rFonts w:ascii="Times New Roman" w:eastAsia="Times New Roman" w:hAnsi="Times New Roman"/>
          <w:szCs w:val="24"/>
        </w:rPr>
        <w:t xml:space="preserve"> limit on trustee-to-trustee transfers. Multiple trustee-to-trustee transfers between IRAs and conversions from traditional IRAs to Roth IRAs are allowed in the same year</w:t>
      </w:r>
      <w:r w:rsidRPr="00FE129D">
        <w:rPr>
          <w:rFonts w:ascii="Times New Roman" w:hAnsi="Times New Roman"/>
          <w:b/>
          <w:color w:val="000000"/>
          <w:szCs w:val="24"/>
        </w:rPr>
        <w:t>. If you are rolling over an IRA or have any questions on this, please call us.</w:t>
      </w:r>
    </w:p>
    <w:p w:rsidR="002028E7" w:rsidRPr="00FE129D" w:rsidRDefault="002028E7" w:rsidP="00E91317">
      <w:pPr>
        <w:shd w:val="clear" w:color="auto" w:fill="FFFFFF"/>
        <w:spacing w:after="0" w:line="240" w:lineRule="auto"/>
        <w:jc w:val="both"/>
        <w:rPr>
          <w:rFonts w:ascii="Times New Roman" w:hAnsi="Times New Roman"/>
          <w:b/>
          <w:color w:val="000000"/>
          <w:szCs w:val="24"/>
        </w:rPr>
      </w:pPr>
    </w:p>
    <w:p w:rsidR="005C77D1" w:rsidRPr="003C5267" w:rsidRDefault="005C77D1" w:rsidP="00D7703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Roth IRA Conversions</w:t>
      </w:r>
      <w:r w:rsidRPr="00D77039">
        <w:rPr>
          <w:rFonts w:ascii="Times New Roman" w:hAnsi="Times New Roman"/>
          <w:b/>
          <w:i/>
          <w:sz w:val="40"/>
          <w:szCs w:val="40"/>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r w:rsidRPr="003C5267">
        <w:rPr>
          <w:rFonts w:ascii="Times New Roman" w:hAnsi="Times New Roman"/>
          <w:b/>
          <w:i/>
          <w:color w:val="1F4E79" w:themeColor="accent1" w:themeShade="80"/>
          <w:sz w:val="24"/>
          <w:szCs w:val="24"/>
          <w:shd w:val="clear" w:color="auto" w:fill="9CC2E5" w:themeFill="accent1" w:themeFillTint="99"/>
        </w:rPr>
        <w:tab/>
      </w:r>
    </w:p>
    <w:p w:rsidR="0091076E" w:rsidRPr="00C571E0" w:rsidRDefault="005C77D1" w:rsidP="00456334">
      <w:pPr>
        <w:spacing w:line="240" w:lineRule="auto"/>
        <w:jc w:val="both"/>
        <w:rPr>
          <w:rFonts w:ascii="Times New Roman" w:hAnsi="Times New Roman"/>
          <w:b/>
          <w:color w:val="000000"/>
          <w:szCs w:val="24"/>
        </w:rPr>
      </w:pPr>
      <w:r w:rsidRPr="003C5267">
        <w:rPr>
          <w:rFonts w:ascii="Times New Roman" w:eastAsia="Times New Roman" w:hAnsi="Times New Roman"/>
          <w:szCs w:val="24"/>
        </w:rPr>
        <w:t xml:space="preserve">Some IRA owners may want to consider converting part or all of their traditional IRAs to a Roth IRA. This is never a simple or easy decision. Roth IRA conversions can be helpful, but they can also create immediate tax consequences and can bring additional rules and potential penalties. </w:t>
      </w:r>
      <w:r w:rsidR="003C5267" w:rsidRPr="003C5267">
        <w:rPr>
          <w:rFonts w:ascii="Times New Roman" w:eastAsia="Times New Roman" w:hAnsi="Times New Roman"/>
          <w:szCs w:val="24"/>
        </w:rPr>
        <w:t xml:space="preserve">Under the new laws, you can no longer unwind a Roth conversion by re-characterizing it. </w:t>
      </w:r>
      <w:r w:rsidRPr="003C5267">
        <w:rPr>
          <w:rFonts w:ascii="Times New Roman" w:eastAsia="Times New Roman" w:hAnsi="Times New Roman"/>
          <w:szCs w:val="24"/>
        </w:rPr>
        <w:t xml:space="preserve">It is best to run the numbers with a qualified professional and calculate the most appropriate strategy for your situation. </w:t>
      </w:r>
      <w:r w:rsidR="00626214" w:rsidRPr="009216B3">
        <w:rPr>
          <w:rFonts w:ascii="Times New Roman" w:hAnsi="Times New Roman"/>
          <w:b/>
          <w:color w:val="000000"/>
          <w:sz w:val="24"/>
          <w:szCs w:val="24"/>
        </w:rPr>
        <w:t xml:space="preserve">Call us if you would like </w:t>
      </w:r>
      <w:r w:rsidRPr="009216B3">
        <w:rPr>
          <w:rFonts w:ascii="Times New Roman" w:hAnsi="Times New Roman"/>
          <w:b/>
          <w:color w:val="000000"/>
          <w:sz w:val="24"/>
          <w:szCs w:val="24"/>
        </w:rPr>
        <w:t>to review your Roth IRA conversion options.</w:t>
      </w:r>
    </w:p>
    <w:p w:rsidR="00626214" w:rsidRDefault="00626214" w:rsidP="00D77039">
      <w:pPr>
        <w:shd w:val="clear" w:color="auto" w:fill="FFFFFF"/>
        <w:spacing w:after="0"/>
        <w:jc w:val="both"/>
        <w:rPr>
          <w:rFonts w:ascii="Times New Roman" w:hAnsi="Times New Roman"/>
          <w:b/>
          <w:color w:val="000000"/>
          <w:sz w:val="24"/>
          <w:szCs w:val="24"/>
        </w:rPr>
      </w:pPr>
      <w:r w:rsidRPr="00D77039">
        <w:rPr>
          <w:rFonts w:ascii="Times New Roman" w:hAnsi="Times New Roman"/>
          <w:b/>
          <w:i/>
          <w:sz w:val="40"/>
          <w:szCs w:val="40"/>
          <w:shd w:val="clear" w:color="auto" w:fill="9CC2E5" w:themeFill="accent1" w:themeFillTint="99"/>
        </w:rPr>
        <w:t>Capital Gains and Losses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626214" w:rsidRPr="00035AAA" w:rsidRDefault="00626214" w:rsidP="00456334">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 w:val="4"/>
          <w:szCs w:val="4"/>
        </w:rPr>
        <w:br/>
      </w:r>
      <w:r w:rsidRPr="00035AAA">
        <w:rPr>
          <w:rFonts w:ascii="Times New Roman" w:eastAsia="Times New Roman" w:hAnsi="Times New Roman"/>
        </w:rPr>
        <w:t xml:space="preserve">Looking at your investment portfolio can reveal a number of different tax saving opportunities. Start by reviewing the various sales you have realized so far this year on stocks, bonds and other investments. Then </w:t>
      </w:r>
      <w:r w:rsidRPr="00035AAA">
        <w:rPr>
          <w:rFonts w:ascii="Times New Roman" w:eastAsia="Times New Roman" w:hAnsi="Times New Roman"/>
          <w:szCs w:val="24"/>
        </w:rPr>
        <w:t>review what’s left and determine whether these investments have an unrealized gain or loss. (Unrealized means you still own the investment, versus realized, which means you’ve actually sold the investment.)</w:t>
      </w:r>
    </w:p>
    <w:p w:rsidR="00626214" w:rsidRPr="00035AAA" w:rsidRDefault="00626214" w:rsidP="00456334">
      <w:pPr>
        <w:shd w:val="clear" w:color="auto" w:fill="FFFFFF"/>
        <w:spacing w:after="0" w:line="240" w:lineRule="auto"/>
        <w:jc w:val="both"/>
        <w:rPr>
          <w:rFonts w:ascii="Times New Roman" w:eastAsia="Times New Roman" w:hAnsi="Times New Roman"/>
          <w:szCs w:val="24"/>
        </w:rPr>
      </w:pPr>
    </w:p>
    <w:p w:rsidR="00626214" w:rsidRDefault="00626214" w:rsidP="00456334">
      <w:pPr>
        <w:shd w:val="clear" w:color="auto" w:fill="FFFFFF"/>
        <w:spacing w:after="0"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Know your basis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color w:val="2F5496" w:themeColor="accent5" w:themeShade="BF"/>
          <w:sz w:val="24"/>
          <w:szCs w:val="24"/>
        </w:rPr>
        <w:t xml:space="preserve"> </w:t>
      </w:r>
      <w:r w:rsidRPr="005F004D">
        <w:rPr>
          <w:rFonts w:ascii="Times New Roman" w:eastAsia="Times New Roman" w:hAnsi="Times New Roman"/>
          <w:szCs w:val="24"/>
        </w:rPr>
        <w:t>In order to determine if you have unrealized gains or losses, you must know the tax basis of your investments, which is usually the cost of the investment when you bought it. However, it gets trickier with investments that allow you to reinvest your dividends and/or capital gain distributions. We will be glad to help you calculate your cost basis.</w:t>
      </w:r>
    </w:p>
    <w:p w:rsidR="00BE354B" w:rsidRPr="00BE354B" w:rsidRDefault="00BE354B" w:rsidP="00C7297D">
      <w:pPr>
        <w:shd w:val="clear" w:color="auto" w:fill="FFFFFF"/>
        <w:spacing w:after="0" w:line="240" w:lineRule="auto"/>
        <w:jc w:val="both"/>
        <w:rPr>
          <w:rFonts w:ascii="Times New Roman" w:eastAsia="Times New Roman" w:hAnsi="Times New Roman"/>
          <w:szCs w:val="24"/>
        </w:rPr>
      </w:pP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Consider loss harvesting.</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your capital gains are larger than your losses, you might want to do some “loss harvesting.” This means selling certain investments that will generate a loss. You can use an unlimited amount of capital losses to offset capital gains. However, you are limited to only $3,000 if married filing jointly ($1,500 if married filing separately) of net capital losses that can offset other income, such as wages, interest and dividends. Any remaining unused capital losses can be carried forward into future years indefinitely. </w:t>
      </w: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Be aware of the “wash sale” rule.</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 xml:space="preserve">If you sell an investment at a loss and then buy it right back, the IRS disallows the deduction. The “wash sale” rule says you must wait at least 30 days before buying back the same security in order to be </w:t>
      </w:r>
      <w:r w:rsidRPr="005F004D">
        <w:rPr>
          <w:rFonts w:ascii="Times New Roman" w:eastAsia="Times New Roman" w:hAnsi="Times New Roman"/>
          <w:szCs w:val="24"/>
        </w:rPr>
        <w:lastRenderedPageBreak/>
        <w:t xml:space="preserve">able to claim the original loss as a deduction. The deduction is also disallowed if you bought the same security within 30 days before the sale.  However, while you cannot immediately buy a substantially identical security to replace the one you sold, you can buy a similar security, perhaps a different stock, in the same sector. This strategy allows you to maintain your general market position while utilizing a tax break. </w:t>
      </w:r>
    </w:p>
    <w:p w:rsidR="00626214" w:rsidRPr="005F004D"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Sell worthless investments.</w:t>
      </w:r>
      <w:r w:rsidRPr="00035AAA">
        <w:rPr>
          <w:rFonts w:ascii="Times New Roman" w:eastAsia="Times New Roman" w:hAnsi="Times New Roman"/>
          <w:sz w:val="24"/>
          <w:szCs w:val="24"/>
        </w:rPr>
        <w:t xml:space="preserve"> </w:t>
      </w:r>
      <w:r w:rsidRPr="005F004D">
        <w:rPr>
          <w:rFonts w:ascii="Times New Roman" w:eastAsia="Times New Roman" w:hAnsi="Times New Roman"/>
          <w:szCs w:val="24"/>
        </w:rPr>
        <w:t>If you own an investment that you believe is worthless, ask your tax preparer if you can sell it to someone other than a related party for a minimal amount, say $1, to show that it is, in fact, worthless. The IRS often disallows a loss of 100% because they will usually argue that the investment has to have at least some value.</w:t>
      </w:r>
    </w:p>
    <w:p w:rsidR="00E47100" w:rsidRPr="00370DA7" w:rsidRDefault="00626214" w:rsidP="00456334">
      <w:pPr>
        <w:spacing w:line="240" w:lineRule="auto"/>
        <w:jc w:val="both"/>
        <w:rPr>
          <w:rFonts w:ascii="Times New Roman" w:eastAsia="Times New Roman" w:hAnsi="Times New Roman"/>
          <w:szCs w:val="24"/>
        </w:rPr>
      </w:pPr>
      <w:r w:rsidRPr="00370DA7">
        <w:rPr>
          <w:rFonts w:ascii="Times New Roman" w:hAnsi="Times New Roman"/>
          <w:b/>
          <w:bCs/>
          <w:color w:val="2F5496" w:themeColor="accent5" w:themeShade="BF"/>
          <w:sz w:val="24"/>
          <w:szCs w:val="26"/>
          <w:u w:val="single"/>
        </w:rPr>
        <w:t>Always double-check brokerage firm reports</w:t>
      </w:r>
      <w:r w:rsidRPr="00035AAA">
        <w:rPr>
          <w:rFonts w:ascii="Times New Roman" w:hAnsi="Times New Roman"/>
          <w:b/>
          <w:bCs/>
          <w:color w:val="2F5496" w:themeColor="accent5" w:themeShade="BF"/>
          <w:sz w:val="26"/>
          <w:szCs w:val="26"/>
          <w:u w:val="single"/>
        </w:rPr>
        <w:t>.</w:t>
      </w:r>
      <w:r w:rsidRPr="00035AAA">
        <w:rPr>
          <w:rFonts w:ascii="Times New Roman" w:eastAsia="Times New Roman" w:hAnsi="Times New Roman"/>
          <w:sz w:val="24"/>
          <w:szCs w:val="24"/>
        </w:rPr>
        <w:t xml:space="preserve"> </w:t>
      </w:r>
      <w:r w:rsidR="00DE763A">
        <w:rPr>
          <w:rFonts w:ascii="Times New Roman" w:eastAsia="Times New Roman" w:hAnsi="Times New Roman"/>
          <w:szCs w:val="24"/>
        </w:rPr>
        <w:t>If you sold a security in 2018</w:t>
      </w:r>
      <w:r w:rsidRPr="005F004D">
        <w:rPr>
          <w:rFonts w:ascii="Times New Roman" w:eastAsia="Times New Roman" w:hAnsi="Times New Roman"/>
          <w:szCs w:val="24"/>
        </w:rPr>
        <w:t xml:space="preserve">, the brokerage firm reports the basis on </w:t>
      </w:r>
      <w:r w:rsidR="00DE763A">
        <w:rPr>
          <w:rFonts w:ascii="Times New Roman" w:eastAsia="Times New Roman" w:hAnsi="Times New Roman"/>
          <w:szCs w:val="24"/>
        </w:rPr>
        <w:t>an IRS Form 1099-B in early 2019</w:t>
      </w:r>
      <w:r w:rsidRPr="005F004D">
        <w:rPr>
          <w:rFonts w:ascii="Times New Roman" w:eastAsia="Times New Roman" w:hAnsi="Times New Roman"/>
          <w:szCs w:val="24"/>
        </w:rPr>
        <w:t xml:space="preserve">. Unfortunately, sometimes there could be problems when reporting your information, so we suggest you double-check these numbers to make sure that the basis is calculated correctly and does not result in a higher amount of tax than you need to pay. </w:t>
      </w:r>
    </w:p>
    <w:p w:rsidR="002F4B05" w:rsidRPr="00A7423C" w:rsidRDefault="00A7423C" w:rsidP="00456334">
      <w:pPr>
        <w:spacing w:after="0" w:line="240" w:lineRule="auto"/>
        <w:rPr>
          <w:rFonts w:ascii="Times New Roman" w:hAnsi="Times New Roman"/>
          <w:b/>
          <w:bCs/>
          <w:iCs/>
          <w:color w:val="000000"/>
          <w:sz w:val="8"/>
          <w:szCs w:val="8"/>
        </w:rPr>
      </w:pPr>
      <w:r>
        <w:rPr>
          <w:rFonts w:ascii="Times New Roman" w:hAnsi="Times New Roman"/>
          <w:b/>
          <w:bCs/>
          <w:iCs/>
          <w:color w:val="000000"/>
          <w:sz w:val="8"/>
          <w:szCs w:val="8"/>
        </w:rPr>
        <w:br/>
      </w:r>
    </w:p>
    <w:p w:rsidR="00035AAA" w:rsidRDefault="00035AAA" w:rsidP="00D77039">
      <w:pPr>
        <w:shd w:val="clear" w:color="auto" w:fill="FFFFFF"/>
        <w:spacing w:after="0"/>
        <w:jc w:val="both"/>
        <w:rPr>
          <w:rFonts w:ascii="Times New Roman" w:hAnsi="Times New Roman"/>
          <w:b/>
          <w:i/>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Zero Percent Tax on Long-term Capital Gains</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035AAA" w:rsidRPr="005F004D" w:rsidRDefault="00035AAA" w:rsidP="00456334">
      <w:pPr>
        <w:spacing w:line="240" w:lineRule="auto"/>
        <w:jc w:val="both"/>
        <w:rPr>
          <w:rFonts w:ascii="Times New Roman" w:eastAsia="Times New Roman" w:hAnsi="Times New Roman"/>
          <w:szCs w:val="24"/>
        </w:rPr>
      </w:pPr>
      <w:r w:rsidRPr="005F004D">
        <w:rPr>
          <w:rFonts w:ascii="Times New Roman" w:eastAsia="Times New Roman" w:hAnsi="Times New Roman"/>
          <w:szCs w:val="24"/>
        </w:rPr>
        <w:t>You may qualify for a 0% capital gains tax rate for some or all of your long-ter</w:t>
      </w:r>
      <w:r w:rsidR="00DE763A">
        <w:rPr>
          <w:rFonts w:ascii="Times New Roman" w:eastAsia="Times New Roman" w:hAnsi="Times New Roman"/>
          <w:szCs w:val="24"/>
        </w:rPr>
        <w:t>m capital gains realized in 2018</w:t>
      </w:r>
      <w:r w:rsidRPr="005F004D">
        <w:rPr>
          <w:rFonts w:ascii="Times New Roman" w:eastAsia="Times New Roman" w:hAnsi="Times New Roman"/>
          <w:szCs w:val="24"/>
        </w:rPr>
        <w:t xml:space="preserve">. </w:t>
      </w:r>
      <w:r w:rsidR="00DE763A">
        <w:rPr>
          <w:rFonts w:ascii="Times New Roman" w:eastAsia="Times New Roman" w:hAnsi="Times New Roman"/>
          <w:szCs w:val="24"/>
        </w:rPr>
        <w:t xml:space="preserve"> If this is the case, then t</w:t>
      </w:r>
      <w:r w:rsidRPr="00DE763A">
        <w:rPr>
          <w:rFonts w:ascii="Times New Roman" w:eastAsia="Times New Roman" w:hAnsi="Times New Roman"/>
          <w:szCs w:val="24"/>
        </w:rPr>
        <w:t xml:space="preserve">he strategy is to figure out how much long-term capital gains you might be able to recognize to take advantage of this tax break. </w:t>
      </w:r>
    </w:p>
    <w:tbl>
      <w:tblPr>
        <w:tblStyle w:val="TableGrid"/>
        <w:tblpPr w:leftFromText="180" w:rightFromText="180" w:vertAnchor="text" w:horzAnchor="margin" w:tblpY="37"/>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255"/>
        <w:gridCol w:w="1620"/>
        <w:gridCol w:w="1620"/>
        <w:gridCol w:w="1620"/>
        <w:gridCol w:w="1561"/>
        <w:gridCol w:w="13"/>
      </w:tblGrid>
      <w:tr w:rsidR="002028E7" w:rsidTr="00A47AA9">
        <w:trPr>
          <w:gridAfter w:val="1"/>
          <w:wAfter w:w="13" w:type="dxa"/>
        </w:trPr>
        <w:tc>
          <w:tcPr>
            <w:tcW w:w="1255"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Long-term Capital Gains Rate</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Single Taxpayers</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Jointly</w:t>
            </w:r>
          </w:p>
        </w:tc>
        <w:tc>
          <w:tcPr>
            <w:tcW w:w="1620"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Head of Household</w:t>
            </w:r>
          </w:p>
        </w:tc>
        <w:tc>
          <w:tcPr>
            <w:tcW w:w="1561" w:type="dxa"/>
            <w:shd w:val="clear" w:color="auto" w:fill="2F5496" w:themeFill="accent5" w:themeFillShade="BF"/>
          </w:tcPr>
          <w:p w:rsidR="002028E7" w:rsidRPr="001576BF" w:rsidRDefault="002028E7" w:rsidP="002028E7">
            <w:pPr>
              <w:spacing w:after="0" w:line="240" w:lineRule="auto"/>
              <w:jc w:val="center"/>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pPr>
            <w:r w:rsidRPr="001576BF">
              <w:rPr>
                <w:rFonts w:asciiTheme="minorHAnsi" w:eastAsia="Times New Roman" w:hAnsiTheme="minorHAnsi"/>
                <w:color w:val="FFFFFF" w:themeColor="background1"/>
                <w14:shadow w14:blurRad="50800" w14:dist="38100" w14:dir="2700000" w14:sx="100000" w14:sy="100000" w14:kx="0" w14:ky="0" w14:algn="tl">
                  <w14:srgbClr w14:val="000000">
                    <w14:alpha w14:val="60000"/>
                  </w14:srgbClr>
                </w14:shadow>
              </w:rPr>
              <w:t>Married Filing Separately</w:t>
            </w:r>
          </w:p>
        </w:tc>
      </w:tr>
      <w:tr w:rsidR="002028E7" w:rsidTr="00994543">
        <w:trPr>
          <w:gridAfter w:val="1"/>
          <w:wAfter w:w="13" w:type="dxa"/>
          <w:trHeight w:val="383"/>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$77,200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$51,700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Up to $38,600</w:t>
            </w:r>
          </w:p>
        </w:tc>
      </w:tr>
      <w:tr w:rsidR="002028E7" w:rsidTr="00994543">
        <w:trPr>
          <w:gridAfter w:val="1"/>
          <w:wAfter w:w="13" w:type="dxa"/>
          <w:trHeight w:val="617"/>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15%</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$425,800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$77,20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$479,000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 xml:space="preserve"> $51,70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$452,400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$38,60</w:t>
            </w:r>
            <w:r w:rsidR="006B0A3E">
              <w:rPr>
                <w:rFonts w:asciiTheme="minorHAnsi" w:eastAsia="Times New Roman" w:hAnsiTheme="minorHAnsi"/>
                <w:color w:val="2F5496" w:themeColor="accent5" w:themeShade="BF"/>
                <w:sz w:val="22"/>
              </w:rPr>
              <w:t>1</w:t>
            </w:r>
            <w:r w:rsidRPr="002028E7">
              <w:rPr>
                <w:rFonts w:asciiTheme="minorHAnsi" w:eastAsia="Times New Roman" w:hAnsiTheme="minorHAnsi"/>
                <w:color w:val="2F5496" w:themeColor="accent5" w:themeShade="BF"/>
                <w:sz w:val="22"/>
              </w:rPr>
              <w:t xml:space="preserve"> - $239,500</w:t>
            </w:r>
          </w:p>
        </w:tc>
      </w:tr>
      <w:tr w:rsidR="002028E7" w:rsidTr="00994543">
        <w:trPr>
          <w:gridAfter w:val="1"/>
          <w:wAfter w:w="13" w:type="dxa"/>
          <w:trHeight w:val="347"/>
        </w:trPr>
        <w:tc>
          <w:tcPr>
            <w:tcW w:w="1255"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20%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$425,800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$479,000</w:t>
            </w:r>
          </w:p>
        </w:tc>
        <w:tc>
          <w:tcPr>
            <w:tcW w:w="1620"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$452,400</w:t>
            </w:r>
          </w:p>
        </w:tc>
        <w:tc>
          <w:tcPr>
            <w:tcW w:w="1561" w:type="dxa"/>
            <w:shd w:val="clear" w:color="auto" w:fill="FFFFFF" w:themeFill="background1"/>
          </w:tcPr>
          <w:p w:rsidR="002028E7" w:rsidRPr="002028E7" w:rsidRDefault="002028E7" w:rsidP="002028E7">
            <w:pPr>
              <w:spacing w:after="0" w:line="240" w:lineRule="auto"/>
              <w:rPr>
                <w:rFonts w:asciiTheme="minorHAnsi" w:eastAsia="Times New Roman" w:hAnsiTheme="minorHAnsi"/>
                <w:color w:val="2F5496" w:themeColor="accent5" w:themeShade="BF"/>
                <w:sz w:val="22"/>
              </w:rPr>
            </w:pPr>
            <w:r w:rsidRPr="002028E7">
              <w:rPr>
                <w:rFonts w:asciiTheme="minorHAnsi" w:eastAsia="Times New Roman" w:hAnsiTheme="minorHAnsi"/>
                <w:color w:val="2F5496" w:themeColor="accent5" w:themeShade="BF"/>
                <w:sz w:val="22"/>
              </w:rPr>
              <w:t>Over $239,500</w:t>
            </w:r>
          </w:p>
        </w:tc>
      </w:tr>
      <w:tr w:rsidR="002028E7" w:rsidTr="00A47AA9">
        <w:tc>
          <w:tcPr>
            <w:tcW w:w="7689" w:type="dxa"/>
            <w:gridSpan w:val="6"/>
            <w:shd w:val="clear" w:color="auto" w:fill="2F5496" w:themeFill="accent5" w:themeFillShade="BF"/>
          </w:tcPr>
          <w:p w:rsidR="002028E7" w:rsidRPr="001576BF" w:rsidRDefault="002028E7" w:rsidP="002028E7">
            <w:pPr>
              <w:tabs>
                <w:tab w:val="left" w:pos="5816"/>
              </w:tabs>
              <w:spacing w:after="0" w:line="240" w:lineRule="auto"/>
              <w:rPr>
                <w:rFonts w:asciiTheme="minorHAnsi" w:eastAsia="Times New Roman" w:hAnsiTheme="minorHAnsi"/>
                <w:i/>
                <w:color w:val="FFFFFF" w:themeColor="background1"/>
                <w:sz w:val="18"/>
              </w:rPr>
            </w:pPr>
            <w:r w:rsidRPr="001576BF">
              <w:rPr>
                <w:rFonts w:asciiTheme="minorHAnsi" w:eastAsia="Times New Roman" w:hAnsiTheme="minorHAnsi"/>
                <w:i/>
                <w:color w:val="FFFFFF" w:themeColor="background1"/>
                <w:sz w:val="18"/>
              </w:rPr>
              <w:t xml:space="preserve">Source: Tax Cuts and Jobs Act </w:t>
            </w:r>
            <w:r>
              <w:rPr>
                <w:rFonts w:asciiTheme="minorHAnsi" w:eastAsia="Times New Roman" w:hAnsiTheme="minorHAnsi"/>
                <w:i/>
                <w:color w:val="FFFFFF" w:themeColor="background1"/>
                <w:sz w:val="18"/>
              </w:rPr>
              <w:tab/>
            </w:r>
          </w:p>
        </w:tc>
      </w:tr>
    </w:tbl>
    <w:p w:rsidR="001576BF" w:rsidRPr="00BE354B" w:rsidRDefault="00035AAA" w:rsidP="00456334">
      <w:pPr>
        <w:shd w:val="clear" w:color="auto" w:fill="FFFFFF"/>
        <w:spacing w:before="180" w:after="0" w:line="240" w:lineRule="auto"/>
        <w:jc w:val="both"/>
        <w:rPr>
          <w:rFonts w:ascii="Times New Roman" w:eastAsia="Times New Roman" w:hAnsi="Times New Roman"/>
          <w:szCs w:val="24"/>
          <w:highlight w:val="yellow"/>
        </w:rPr>
      </w:pPr>
      <w:r w:rsidRPr="00DE763A">
        <w:rPr>
          <w:rFonts w:ascii="Times New Roman" w:eastAsia="Times New Roman" w:hAnsi="Times New Roman"/>
          <w:b/>
          <w:szCs w:val="24"/>
        </w:rPr>
        <w:t>NOTE</w:t>
      </w:r>
      <w:r w:rsidRPr="00DE763A">
        <w:rPr>
          <w:rFonts w:ascii="Times New Roman" w:eastAsia="Times New Roman" w:hAnsi="Times New Roman"/>
          <w:szCs w:val="24"/>
        </w:rPr>
        <w:t xml:space="preserve">: The 0%, 15% and 20% long-term capital gains tax rates only apply to “capital assets” (such as marketable securities) held longer than one year. Anything held one year or less is considered a “short-term capital gain” and is taxed </w:t>
      </w:r>
      <w:proofErr w:type="spellStart"/>
      <w:r w:rsidRPr="00DE763A">
        <w:rPr>
          <w:rFonts w:ascii="Times New Roman" w:eastAsia="Times New Roman" w:hAnsi="Times New Roman"/>
          <w:szCs w:val="24"/>
        </w:rPr>
        <w:t>at</w:t>
      </w:r>
      <w:proofErr w:type="spellEnd"/>
      <w:r w:rsidRPr="00DE763A">
        <w:rPr>
          <w:rFonts w:ascii="Times New Roman" w:eastAsia="Times New Roman" w:hAnsi="Times New Roman"/>
          <w:szCs w:val="24"/>
        </w:rPr>
        <w:t xml:space="preserve"> ordinary income tax rates</w:t>
      </w:r>
      <w:r w:rsidR="00DE763A" w:rsidRPr="00DE763A">
        <w:rPr>
          <w:rFonts w:ascii="Times New Roman" w:eastAsia="Times New Roman" w:hAnsi="Times New Roman"/>
          <w:szCs w:val="24"/>
        </w:rPr>
        <w:t>.</w:t>
      </w:r>
      <w:r w:rsidRPr="00DE763A">
        <w:rPr>
          <w:rFonts w:ascii="Times New Roman" w:eastAsia="Times New Roman" w:hAnsi="Times New Roman"/>
          <w:szCs w:val="24"/>
        </w:rPr>
        <w:t xml:space="preserve"> </w:t>
      </w:r>
    </w:p>
    <w:p w:rsidR="00035AAA" w:rsidRPr="00DE763A" w:rsidRDefault="00035AAA" w:rsidP="00456334">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This stra</w:t>
      </w:r>
      <w:r w:rsidR="00DE763A" w:rsidRPr="00DE763A">
        <w:rPr>
          <w:rFonts w:ascii="Times New Roman" w:eastAsia="Times New Roman" w:hAnsi="Times New Roman"/>
          <w:szCs w:val="24"/>
        </w:rPr>
        <w:t>tegy might be helpful if in 2018</w:t>
      </w:r>
      <w:r w:rsidRPr="00DE763A">
        <w:rPr>
          <w:rFonts w:ascii="Times New Roman" w:eastAsia="Times New Roman" w:hAnsi="Times New Roman"/>
          <w:szCs w:val="24"/>
        </w:rPr>
        <w:t xml:space="preserve"> </w:t>
      </w:r>
      <w:r w:rsidR="009216B3">
        <w:rPr>
          <w:rFonts w:ascii="Times New Roman" w:eastAsia="Times New Roman" w:hAnsi="Times New Roman"/>
          <w:szCs w:val="24"/>
        </w:rPr>
        <w:t xml:space="preserve">if </w:t>
      </w:r>
      <w:r w:rsidRPr="00DE763A">
        <w:rPr>
          <w:rFonts w:ascii="Times New Roman" w:eastAsia="Times New Roman" w:hAnsi="Times New Roman"/>
          <w:szCs w:val="24"/>
        </w:rPr>
        <w:t>you were temporarily unemployed, are someone whose income varies from year to year</w:t>
      </w:r>
      <w:r w:rsidR="009216B3">
        <w:rPr>
          <w:rFonts w:ascii="Times New Roman" w:eastAsia="Times New Roman" w:hAnsi="Times New Roman"/>
          <w:szCs w:val="24"/>
        </w:rPr>
        <w:t>,</w:t>
      </w:r>
      <w:r w:rsidRPr="00DE763A">
        <w:rPr>
          <w:rFonts w:ascii="Times New Roman" w:eastAsia="Times New Roman" w:hAnsi="Times New Roman"/>
          <w:szCs w:val="24"/>
        </w:rPr>
        <w:t xml:space="preserve"> or are </w:t>
      </w:r>
      <w:r w:rsidR="009216B3">
        <w:rPr>
          <w:rFonts w:ascii="Times New Roman" w:eastAsia="Times New Roman" w:hAnsi="Times New Roman"/>
          <w:szCs w:val="24"/>
        </w:rPr>
        <w:t>under the age of</w:t>
      </w:r>
      <w:r w:rsidRPr="00DE763A">
        <w:rPr>
          <w:rFonts w:ascii="Times New Roman" w:eastAsia="Times New Roman" w:hAnsi="Times New Roman"/>
          <w:szCs w:val="24"/>
        </w:rPr>
        <w:t xml:space="preserve"> 70 and may soon be transitioning into retirement or already retired.</w:t>
      </w:r>
    </w:p>
    <w:p w:rsidR="00035AAA" w:rsidRPr="00D9744A" w:rsidRDefault="00035AAA" w:rsidP="00456334">
      <w:pPr>
        <w:shd w:val="clear" w:color="auto" w:fill="FFFFFF"/>
        <w:spacing w:before="180" w:after="0" w:line="240" w:lineRule="auto"/>
        <w:jc w:val="both"/>
        <w:rPr>
          <w:rFonts w:ascii="Times New Roman" w:eastAsia="Times New Roman" w:hAnsi="Times New Roman"/>
          <w:szCs w:val="24"/>
        </w:rPr>
      </w:pPr>
      <w:r w:rsidRPr="00DE763A">
        <w:rPr>
          <w:rFonts w:ascii="Times New Roman" w:eastAsia="Times New Roman" w:hAnsi="Times New Roman"/>
          <w:szCs w:val="24"/>
        </w:rPr>
        <w:t>If you’re ineligible for the 0% capital gains tax rate but you have adult children in the 0% bracket, consider gifting app</w:t>
      </w:r>
      <w:r w:rsidR="00DE763A" w:rsidRPr="00DE763A">
        <w:rPr>
          <w:rFonts w:ascii="Times New Roman" w:eastAsia="Times New Roman" w:hAnsi="Times New Roman"/>
          <w:szCs w:val="24"/>
        </w:rPr>
        <w:t>reciated securities</w:t>
      </w:r>
      <w:r w:rsidRPr="00DE763A">
        <w:rPr>
          <w:rFonts w:ascii="Times New Roman" w:eastAsia="Times New Roman" w:hAnsi="Times New Roman"/>
          <w:szCs w:val="24"/>
        </w:rPr>
        <w:t xml:space="preserve"> to them. Your adult children</w:t>
      </w:r>
      <w:r w:rsidR="00C571E0">
        <w:rPr>
          <w:rFonts w:ascii="Times New Roman" w:eastAsia="Times New Roman" w:hAnsi="Times New Roman"/>
          <w:szCs w:val="24"/>
        </w:rPr>
        <w:t xml:space="preserve"> who file their own tax returns</w:t>
      </w:r>
      <w:r w:rsidRPr="00DE763A">
        <w:rPr>
          <w:rFonts w:ascii="Times New Roman" w:eastAsia="Times New Roman" w:hAnsi="Times New Roman"/>
          <w:szCs w:val="24"/>
        </w:rPr>
        <w:t xml:space="preserve"> </w:t>
      </w:r>
      <w:r w:rsidR="00C571E0">
        <w:rPr>
          <w:rFonts w:ascii="Times New Roman" w:eastAsia="Times New Roman" w:hAnsi="Times New Roman"/>
          <w:szCs w:val="24"/>
        </w:rPr>
        <w:t>might pay l</w:t>
      </w:r>
      <w:r w:rsidRPr="00DE763A">
        <w:rPr>
          <w:rFonts w:ascii="Times New Roman" w:eastAsia="Times New Roman" w:hAnsi="Times New Roman"/>
          <w:szCs w:val="24"/>
        </w:rPr>
        <w:t>ess in capital gains tax than if you sold the stock yourse</w:t>
      </w:r>
      <w:r w:rsidR="00C571E0">
        <w:rPr>
          <w:rFonts w:ascii="Times New Roman" w:eastAsia="Times New Roman" w:hAnsi="Times New Roman"/>
          <w:szCs w:val="24"/>
        </w:rPr>
        <w:t>lf and gifted the cash to them.</w:t>
      </w:r>
    </w:p>
    <w:p w:rsidR="00DE763A" w:rsidRPr="00C7297D" w:rsidRDefault="00DE763A" w:rsidP="00456334">
      <w:pPr>
        <w:pStyle w:val="IntenseQuote"/>
        <w:pBdr>
          <w:bottom w:val="none" w:sz="0" w:space="0" w:color="auto"/>
        </w:pBdr>
        <w:spacing w:before="0" w:after="0" w:line="240" w:lineRule="auto"/>
        <w:ind w:left="0" w:right="0"/>
        <w:jc w:val="both"/>
        <w:rPr>
          <w:rFonts w:ascii="Times New Roman" w:hAnsi="Times New Roman"/>
          <w:color w:val="1F4E79" w:themeColor="accent1" w:themeShade="80"/>
          <w:sz w:val="28"/>
          <w:szCs w:val="40"/>
          <w:shd w:val="clear" w:color="auto" w:fill="9CC2E5" w:themeFill="accent1" w:themeFillTint="99"/>
        </w:rPr>
      </w:pPr>
    </w:p>
    <w:p w:rsidR="00254C8B" w:rsidRPr="0073345E" w:rsidRDefault="00D9744A" w:rsidP="0073345E">
      <w:pPr>
        <w:shd w:val="clear" w:color="auto" w:fill="FFFFFF"/>
        <w:spacing w:after="0"/>
        <w:jc w:val="both"/>
        <w:rPr>
          <w:rFonts w:ascii="Times New Roman" w:hAnsi="Times New Roman"/>
          <w:b/>
          <w:color w:val="1F4E79" w:themeColor="accent1" w:themeShade="80"/>
          <w:sz w:val="20"/>
          <w:szCs w:val="20"/>
        </w:rPr>
      </w:pPr>
      <w:r w:rsidRPr="00D77039">
        <w:rPr>
          <w:rFonts w:ascii="Times New Roman" w:hAnsi="Times New Roman"/>
          <w:b/>
          <w:i/>
          <w:sz w:val="40"/>
          <w:szCs w:val="40"/>
          <w:shd w:val="clear" w:color="auto" w:fill="9CC2E5" w:themeFill="accent1" w:themeFillTint="99"/>
        </w:rPr>
        <w:t>Some</w:t>
      </w:r>
      <w:r w:rsidR="005C77D1" w:rsidRPr="00D77039">
        <w:rPr>
          <w:rFonts w:ascii="Times New Roman" w:hAnsi="Times New Roman"/>
          <w:b/>
          <w:i/>
          <w:sz w:val="40"/>
          <w:szCs w:val="40"/>
          <w:shd w:val="clear" w:color="auto" w:fill="9CC2E5" w:themeFill="accent1" w:themeFillTint="99"/>
        </w:rPr>
        <w:t xml:space="preserve"> </w:t>
      </w:r>
      <w:r w:rsidR="00BE354B" w:rsidRPr="00D77039">
        <w:rPr>
          <w:rFonts w:ascii="Times New Roman" w:hAnsi="Times New Roman"/>
          <w:b/>
          <w:i/>
          <w:sz w:val="40"/>
          <w:szCs w:val="40"/>
          <w:shd w:val="clear" w:color="auto" w:fill="9CC2E5" w:themeFill="accent1" w:themeFillTint="99"/>
        </w:rPr>
        <w:t xml:space="preserve">Notable </w:t>
      </w:r>
      <w:r w:rsidR="00B54017" w:rsidRPr="00D77039">
        <w:rPr>
          <w:rFonts w:ascii="Times New Roman" w:hAnsi="Times New Roman"/>
          <w:b/>
          <w:i/>
          <w:sz w:val="40"/>
          <w:szCs w:val="40"/>
          <w:shd w:val="clear" w:color="auto" w:fill="9CC2E5" w:themeFill="accent1" w:themeFillTint="99"/>
        </w:rPr>
        <w:t>T</w:t>
      </w:r>
      <w:r w:rsidR="00893FF4" w:rsidRPr="00D77039">
        <w:rPr>
          <w:rFonts w:ascii="Times New Roman" w:hAnsi="Times New Roman"/>
          <w:b/>
          <w:i/>
          <w:sz w:val="40"/>
          <w:szCs w:val="40"/>
          <w:shd w:val="clear" w:color="auto" w:fill="9CC2E5" w:themeFill="accent1" w:themeFillTint="99"/>
        </w:rPr>
        <w:t xml:space="preserve">ax </w:t>
      </w:r>
      <w:r w:rsidRPr="00D77039">
        <w:rPr>
          <w:rFonts w:ascii="Times New Roman" w:hAnsi="Times New Roman"/>
          <w:b/>
          <w:i/>
          <w:sz w:val="40"/>
          <w:szCs w:val="40"/>
          <w:shd w:val="clear" w:color="auto" w:fill="9CC2E5" w:themeFill="accent1" w:themeFillTint="99"/>
        </w:rPr>
        <w:t>Changes</w:t>
      </w:r>
      <w:r w:rsidR="00893FF4" w:rsidRPr="00D77039">
        <w:rPr>
          <w:rFonts w:ascii="Times New Roman" w:hAnsi="Times New Roman"/>
          <w:b/>
          <w:i/>
          <w:sz w:val="40"/>
          <w:szCs w:val="40"/>
          <w:shd w:val="clear" w:color="auto" w:fill="9CC2E5" w:themeFill="accent1" w:themeFillTint="99"/>
        </w:rPr>
        <w:t xml:space="preserve"> for 2018</w:t>
      </w:r>
      <w:r w:rsidR="00DE763A" w:rsidRPr="00D77039">
        <w:rPr>
          <w:rFonts w:ascii="Times New Roman" w:hAnsi="Times New Roman"/>
          <w:b/>
          <w:i/>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 xml:space="preserve">   </w:t>
      </w:r>
      <w:r w:rsidR="00DE763A">
        <w:rPr>
          <w:rFonts w:ascii="Times New Roman" w:hAnsi="Times New Roman"/>
          <w:color w:val="1F4E79" w:themeColor="accent1" w:themeShade="80"/>
          <w:sz w:val="40"/>
          <w:szCs w:val="40"/>
          <w:shd w:val="clear" w:color="auto" w:fill="9CC2E5" w:themeFill="accent1" w:themeFillTint="99"/>
        </w:rPr>
        <w:tab/>
      </w:r>
      <w:r w:rsidR="002028E7">
        <w:rPr>
          <w:rFonts w:ascii="Times New Roman" w:hAnsi="Times New Roman"/>
          <w:color w:val="1F4E79" w:themeColor="accent1" w:themeShade="80"/>
          <w:sz w:val="40"/>
          <w:szCs w:val="40"/>
          <w:shd w:val="clear" w:color="auto" w:fill="9CC2E5" w:themeFill="accent1" w:themeFillTint="99"/>
        </w:rPr>
        <w:tab/>
      </w:r>
      <w:r w:rsidR="002028E7">
        <w:rPr>
          <w:rFonts w:ascii="Times New Roman" w:hAnsi="Times New Roman"/>
          <w:color w:val="1F4E79" w:themeColor="accent1" w:themeShade="80"/>
          <w:sz w:val="40"/>
          <w:szCs w:val="40"/>
          <w:shd w:val="clear" w:color="auto" w:fill="9CC2E5" w:themeFill="accent1" w:themeFillTint="99"/>
        </w:rPr>
        <w:tab/>
      </w:r>
      <w:r w:rsidR="00DE763A">
        <w:rPr>
          <w:rFonts w:ascii="Times New Roman" w:hAnsi="Times New Roman"/>
          <w:color w:val="1F4E79" w:themeColor="accent1" w:themeShade="80"/>
          <w:sz w:val="40"/>
          <w:szCs w:val="40"/>
          <w:shd w:val="clear" w:color="auto" w:fill="9CC2E5" w:themeFill="accent1" w:themeFillTint="99"/>
        </w:rPr>
        <w:tab/>
      </w:r>
    </w:p>
    <w:p w:rsidR="00893FF4" w:rsidRPr="0091076E" w:rsidRDefault="00DE763A" w:rsidP="00456334">
      <w:pPr>
        <w:shd w:val="clear" w:color="auto" w:fill="FFFFFF"/>
        <w:spacing w:after="0" w:line="240" w:lineRule="auto"/>
        <w:jc w:val="both"/>
        <w:rPr>
          <w:rFonts w:ascii="Times New Roman" w:eastAsia="Times New Roman" w:hAnsi="Times New Roman"/>
          <w:b/>
        </w:rPr>
      </w:pPr>
      <w:r w:rsidRPr="0091076E">
        <w:rPr>
          <w:rFonts w:ascii="Times New Roman" w:eastAsia="Times New Roman" w:hAnsi="Times New Roman"/>
          <w:b/>
        </w:rPr>
        <w:t>Several i</w:t>
      </w:r>
      <w:r w:rsidR="00893FF4" w:rsidRPr="0091076E">
        <w:rPr>
          <w:rFonts w:ascii="Times New Roman" w:eastAsia="Times New Roman" w:hAnsi="Times New Roman"/>
          <w:b/>
        </w:rPr>
        <w:t>temized deductions are signi</w:t>
      </w:r>
      <w:r w:rsidR="0091076E">
        <w:rPr>
          <w:rFonts w:ascii="Times New Roman" w:eastAsia="Times New Roman" w:hAnsi="Times New Roman"/>
          <w:b/>
        </w:rPr>
        <w:t>ficantly different under the new tax laws</w:t>
      </w:r>
      <w:r w:rsidR="00427E32">
        <w:rPr>
          <w:rFonts w:ascii="Times New Roman" w:eastAsia="Times New Roman" w:hAnsi="Times New Roman"/>
          <w:b/>
        </w:rPr>
        <w:t>.</w:t>
      </w:r>
      <w:r w:rsidR="0091076E">
        <w:rPr>
          <w:rFonts w:ascii="Times New Roman" w:eastAsia="Times New Roman" w:hAnsi="Times New Roman"/>
          <w:b/>
        </w:rPr>
        <w:t xml:space="preserve"> </w:t>
      </w:r>
      <w:r w:rsidR="00427E32">
        <w:rPr>
          <w:rFonts w:ascii="Times New Roman" w:eastAsia="Times New Roman" w:hAnsi="Times New Roman"/>
          <w:b/>
        </w:rPr>
        <w:t>T</w:t>
      </w:r>
      <w:r w:rsidR="0091076E">
        <w:rPr>
          <w:rFonts w:ascii="Times New Roman" w:eastAsia="Times New Roman" w:hAnsi="Times New Roman"/>
          <w:b/>
        </w:rPr>
        <w:t>hey include</w:t>
      </w:r>
      <w:r w:rsidR="00893FF4" w:rsidRPr="0091076E">
        <w:rPr>
          <w:rFonts w:ascii="Times New Roman" w:eastAsia="Times New Roman" w:hAnsi="Times New Roman"/>
          <w:b/>
        </w:rPr>
        <w:t>:</w:t>
      </w:r>
    </w:p>
    <w:p w:rsidR="0091076E" w:rsidRDefault="0091076E" w:rsidP="00456334">
      <w:pPr>
        <w:shd w:val="clear" w:color="auto" w:fill="FFFFFF"/>
        <w:spacing w:after="0" w:line="240" w:lineRule="auto"/>
        <w:jc w:val="both"/>
        <w:rPr>
          <w:rFonts w:ascii="Times New Roman" w:eastAsia="Times New Roman" w:hAnsi="Times New Roman"/>
          <w:b/>
          <w:bCs/>
        </w:rPr>
      </w:pPr>
    </w:p>
    <w:p w:rsidR="00893FF4" w:rsidRPr="0091076E"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The floor for deductible </w:t>
      </w:r>
      <w:r w:rsidRPr="00C571E0">
        <w:rPr>
          <w:rFonts w:ascii="Times New Roman" w:hAnsi="Times New Roman"/>
          <w:b/>
          <w:bCs/>
          <w:color w:val="2F5496" w:themeColor="accent5" w:themeShade="BF"/>
          <w:sz w:val="24"/>
          <w:szCs w:val="26"/>
          <w:u w:val="single"/>
        </w:rPr>
        <w:t>medical expenses is reduced to 7.5 percent</w:t>
      </w:r>
      <w:r w:rsidR="008D41DB">
        <w:rPr>
          <w:rFonts w:ascii="Times New Roman" w:eastAsia="Times New Roman" w:hAnsi="Times New Roman"/>
        </w:rPr>
        <w:t xml:space="preserve"> (from 10 percent) for</w:t>
      </w:r>
      <w:r w:rsidRPr="005F004D">
        <w:rPr>
          <w:rFonts w:ascii="Times New Roman" w:eastAsia="Times New Roman" w:hAnsi="Times New Roman"/>
        </w:rPr>
        <w:t xml:space="preserve"> 2018, and 2019. It makes sense to schedule discretionary medical procedures in 2018 and 2019 if doing so will lead to a medical expense deduction.</w:t>
      </w:r>
    </w:p>
    <w:p w:rsidR="0091076E" w:rsidRPr="00C7297D" w:rsidRDefault="0091076E" w:rsidP="00456334">
      <w:pPr>
        <w:shd w:val="clear" w:color="auto" w:fill="FFFFFF"/>
        <w:spacing w:after="0" w:line="240" w:lineRule="auto"/>
        <w:jc w:val="both"/>
        <w:rPr>
          <w:rFonts w:ascii="Times New Roman" w:hAnsi="Times New Roman"/>
          <w:b/>
          <w:bCs/>
          <w:color w:val="2F5496" w:themeColor="accent5" w:themeShade="BF"/>
          <w:sz w:val="20"/>
          <w:szCs w:val="24"/>
          <w:u w:val="single"/>
        </w:rPr>
      </w:pPr>
    </w:p>
    <w:p w:rsidR="00893FF4" w:rsidRPr="0091076E"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State and local income, sales, and real and personal property taxes</w:t>
      </w:r>
      <w:r w:rsidR="00BE354B" w:rsidRPr="003C5267">
        <w:rPr>
          <w:rFonts w:ascii="Times New Roman" w:hAnsi="Times New Roman"/>
          <w:b/>
          <w:bCs/>
          <w:color w:val="2F5496" w:themeColor="accent5" w:themeShade="BF"/>
          <w:sz w:val="24"/>
          <w:szCs w:val="24"/>
          <w:u w:val="single"/>
        </w:rPr>
        <w:t xml:space="preserve"> (SALT)</w:t>
      </w:r>
      <w:r w:rsidRPr="005F004D">
        <w:rPr>
          <w:rFonts w:ascii="Times New Roman" w:eastAsia="Times New Roman" w:hAnsi="Times New Roman"/>
        </w:rPr>
        <w:t xml:space="preserve"> are limited to $10,000.</w:t>
      </w:r>
    </w:p>
    <w:p w:rsidR="0091076E" w:rsidRPr="00C7297D" w:rsidRDefault="0091076E" w:rsidP="00C7297D">
      <w:pPr>
        <w:shd w:val="clear" w:color="auto" w:fill="FFFFFF"/>
        <w:spacing w:after="0" w:line="240" w:lineRule="auto"/>
        <w:jc w:val="both"/>
        <w:rPr>
          <w:rFonts w:ascii="Times New Roman" w:hAnsi="Times New Roman"/>
          <w:b/>
          <w:bCs/>
          <w:color w:val="2F5496" w:themeColor="accent5" w:themeShade="BF"/>
          <w:sz w:val="20"/>
          <w:szCs w:val="24"/>
          <w:u w:val="single"/>
        </w:rPr>
      </w:pPr>
    </w:p>
    <w:p w:rsidR="00893FF4"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 xml:space="preserve">Although </w:t>
      </w:r>
      <w:r w:rsidRPr="00C571E0">
        <w:rPr>
          <w:rFonts w:ascii="Times New Roman" w:hAnsi="Times New Roman"/>
          <w:b/>
          <w:bCs/>
          <w:color w:val="2F5496" w:themeColor="accent5" w:themeShade="BF"/>
          <w:sz w:val="24"/>
          <w:szCs w:val="26"/>
          <w:u w:val="single"/>
        </w:rPr>
        <w:t>existing mortgages are grandfathered in subject to the prior $1 million cap</w:t>
      </w:r>
      <w:r w:rsidRPr="005F004D">
        <w:rPr>
          <w:rFonts w:ascii="Times New Roman" w:eastAsia="Times New Roman" w:hAnsi="Times New Roman"/>
        </w:rPr>
        <w:t>, interest expense on acquisition indebtedness for up to two homes is capped at $750,000 total for loans incurred after December 15, 2017 through 2025. Interest on home equity loans is not deductible after 2017 through 2025.</w:t>
      </w:r>
    </w:p>
    <w:p w:rsidR="00370DA7" w:rsidRPr="00370DA7" w:rsidRDefault="00370DA7" w:rsidP="00456334">
      <w:pPr>
        <w:shd w:val="clear" w:color="auto" w:fill="FFFFFF"/>
        <w:spacing w:after="0" w:line="240" w:lineRule="auto"/>
        <w:jc w:val="both"/>
        <w:rPr>
          <w:rFonts w:ascii="Times New Roman" w:eastAsia="Times New Roman" w:hAnsi="Times New Roman"/>
          <w:sz w:val="20"/>
        </w:rPr>
      </w:pPr>
    </w:p>
    <w:p w:rsidR="00893FF4" w:rsidRPr="005F004D" w:rsidRDefault="00893FF4" w:rsidP="00456334">
      <w:pPr>
        <w:shd w:val="clear" w:color="auto" w:fill="FFFFFF"/>
        <w:spacing w:after="0" w:line="240" w:lineRule="auto"/>
        <w:jc w:val="both"/>
        <w:rPr>
          <w:rFonts w:ascii="Times New Roman" w:eastAsia="Times New Roman" w:hAnsi="Times New Roman"/>
        </w:rPr>
      </w:pPr>
      <w:r w:rsidRPr="00370DA7">
        <w:rPr>
          <w:rFonts w:ascii="Times New Roman" w:hAnsi="Times New Roman"/>
          <w:b/>
          <w:bCs/>
          <w:color w:val="2F5496" w:themeColor="accent5" w:themeShade="BF"/>
          <w:sz w:val="24"/>
          <w:szCs w:val="26"/>
          <w:u w:val="single"/>
        </w:rPr>
        <w:t>The deduction for casualty and theft losses</w:t>
      </w:r>
      <w:r w:rsidRPr="00370DA7">
        <w:rPr>
          <w:rFonts w:ascii="Times New Roman" w:eastAsia="Times New Roman" w:hAnsi="Times New Roman"/>
        </w:rPr>
        <w:t xml:space="preserve"> </w:t>
      </w:r>
      <w:r w:rsidRPr="00C571E0">
        <w:rPr>
          <w:rFonts w:ascii="Times New Roman" w:eastAsia="Times New Roman" w:hAnsi="Times New Roman"/>
        </w:rPr>
        <w:t>is</w:t>
      </w:r>
      <w:r w:rsidRPr="005F004D">
        <w:rPr>
          <w:rFonts w:ascii="Times New Roman" w:eastAsia="Times New Roman" w:hAnsi="Times New Roman"/>
        </w:rPr>
        <w:t xml:space="preserve"> allowed only for presidentially declared disaster areas.</w:t>
      </w:r>
    </w:p>
    <w:p w:rsidR="00893FF4" w:rsidRPr="00C7297D" w:rsidRDefault="00893FF4" w:rsidP="00456334">
      <w:pPr>
        <w:shd w:val="clear" w:color="auto" w:fill="FFFFFF"/>
        <w:spacing w:after="0" w:line="240" w:lineRule="auto"/>
        <w:jc w:val="both"/>
        <w:rPr>
          <w:rFonts w:ascii="Times New Roman" w:eastAsia="Times New Roman" w:hAnsi="Times New Roman"/>
          <w:b/>
          <w:bCs/>
          <w:sz w:val="20"/>
        </w:rPr>
      </w:pPr>
    </w:p>
    <w:p w:rsidR="00893FF4" w:rsidRDefault="00893FF4"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lastRenderedPageBreak/>
        <w:t>Miscellaneous itemized deductions</w:t>
      </w:r>
      <w:r w:rsidR="00C571E0">
        <w:rPr>
          <w:rFonts w:ascii="Times New Roman" w:hAnsi="Times New Roman"/>
          <w:b/>
          <w:bCs/>
          <w:color w:val="2F5496" w:themeColor="accent5" w:themeShade="BF"/>
          <w:sz w:val="24"/>
          <w:szCs w:val="24"/>
          <w:u w:val="single"/>
        </w:rPr>
        <w:t xml:space="preserve"> disallowed after 2017 include:</w:t>
      </w:r>
      <w:r w:rsidR="00C571E0">
        <w:rPr>
          <w:rFonts w:ascii="Times New Roman" w:eastAsia="Times New Roman" w:hAnsi="Times New Roman"/>
        </w:rPr>
        <w:t> </w:t>
      </w:r>
      <w:r w:rsidRPr="005F004D">
        <w:rPr>
          <w:rFonts w:ascii="Times New Roman" w:eastAsia="Times New Roman" w:hAnsi="Times New Roman"/>
        </w:rPr>
        <w:t xml:space="preserve"> tax preparation fees, investment expenses, and unreimbursed employee ex</w:t>
      </w:r>
      <w:r w:rsidR="00C571E0">
        <w:rPr>
          <w:rFonts w:ascii="Times New Roman" w:eastAsia="Times New Roman" w:hAnsi="Times New Roman"/>
        </w:rPr>
        <w:t>penses</w:t>
      </w:r>
      <w:r w:rsidRPr="005F004D">
        <w:rPr>
          <w:rFonts w:ascii="Times New Roman" w:eastAsia="Times New Roman" w:hAnsi="Times New Roman"/>
        </w:rPr>
        <w:t>. Individuals with significant unreimbursed employe</w:t>
      </w:r>
      <w:r w:rsidR="0091076E">
        <w:rPr>
          <w:rFonts w:ascii="Times New Roman" w:eastAsia="Times New Roman" w:hAnsi="Times New Roman"/>
        </w:rPr>
        <w:t>e expenses, including mileage, i</w:t>
      </w:r>
      <w:r w:rsidRPr="005F004D">
        <w:rPr>
          <w:rFonts w:ascii="Times New Roman" w:eastAsia="Times New Roman" w:hAnsi="Times New Roman"/>
        </w:rPr>
        <w:t xml:space="preserve">nternet/phone charges, and education costs should </w:t>
      </w:r>
      <w:r w:rsidR="00BE354B">
        <w:rPr>
          <w:rFonts w:ascii="Times New Roman" w:eastAsia="Times New Roman" w:hAnsi="Times New Roman"/>
        </w:rPr>
        <w:t>consider setting up</w:t>
      </w:r>
      <w:r w:rsidRPr="005F004D">
        <w:rPr>
          <w:rFonts w:ascii="Times New Roman" w:eastAsia="Times New Roman" w:hAnsi="Times New Roman"/>
        </w:rPr>
        <w:t xml:space="preserve"> an excludable working condition fringe benefit arrangement or accountable plan from their employers.</w:t>
      </w:r>
    </w:p>
    <w:p w:rsidR="00C571E0" w:rsidRPr="00C7297D" w:rsidRDefault="00C571E0" w:rsidP="00456334">
      <w:pPr>
        <w:shd w:val="clear" w:color="auto" w:fill="FFFFFF"/>
        <w:spacing w:after="0" w:line="240" w:lineRule="auto"/>
        <w:jc w:val="both"/>
        <w:rPr>
          <w:rFonts w:ascii="Times New Roman" w:eastAsia="Times New Roman" w:hAnsi="Times New Roman"/>
          <w:b/>
          <w:bCs/>
          <w:sz w:val="18"/>
          <w:szCs w:val="24"/>
        </w:rPr>
      </w:pPr>
    </w:p>
    <w:p w:rsidR="00C571E0" w:rsidRDefault="00C571E0" w:rsidP="00456334">
      <w:pPr>
        <w:shd w:val="clear" w:color="auto" w:fill="FFFFFF"/>
        <w:spacing w:after="0" w:line="240" w:lineRule="auto"/>
        <w:jc w:val="both"/>
        <w:rPr>
          <w:rFonts w:ascii="Times New Roman" w:eastAsia="Times New Roman" w:hAnsi="Times New Roman"/>
          <w:szCs w:val="24"/>
        </w:rPr>
      </w:pPr>
      <w:r w:rsidRPr="00C571E0">
        <w:rPr>
          <w:rFonts w:ascii="Times New Roman" w:hAnsi="Times New Roman"/>
          <w:b/>
          <w:bCs/>
          <w:color w:val="2F5496" w:themeColor="accent5" w:themeShade="BF"/>
          <w:sz w:val="24"/>
          <w:szCs w:val="24"/>
          <w:u w:val="single"/>
        </w:rPr>
        <w:t>Alimony</w:t>
      </w:r>
      <w:r>
        <w:rPr>
          <w:rFonts w:ascii="Times New Roman" w:hAnsi="Times New Roman"/>
          <w:b/>
          <w:bCs/>
          <w:color w:val="2F5496" w:themeColor="accent5" w:themeShade="BF"/>
          <w:sz w:val="24"/>
          <w:szCs w:val="24"/>
          <w:u w:val="single"/>
        </w:rPr>
        <w:t xml:space="preserve"> deduction changes</w:t>
      </w:r>
      <w:r w:rsidRPr="00C571E0">
        <w:rPr>
          <w:rFonts w:ascii="Times New Roman" w:hAnsi="Times New Roman"/>
          <w:b/>
          <w:bCs/>
          <w:color w:val="2F5496" w:themeColor="accent5" w:themeShade="BF"/>
          <w:sz w:val="24"/>
          <w:szCs w:val="24"/>
          <w:u w:val="single"/>
        </w:rPr>
        <w:t>.</w:t>
      </w:r>
      <w:r w:rsidRPr="005F004D">
        <w:rPr>
          <w:rFonts w:ascii="Times New Roman" w:eastAsia="Times New Roman" w:hAnsi="Times New Roman"/>
          <w:szCs w:val="24"/>
        </w:rPr>
        <w:t> Under prior law, alimony and separate maintenance payments were deductible by the payor and includible in income by the payee. For divorce and separation instruments executed or modified after December 31, 2018, alimony and separate maintenance payments are not deductible by the payor</w:t>
      </w:r>
      <w:r w:rsidR="006B0A3E">
        <w:rPr>
          <w:rFonts w:ascii="Times New Roman" w:eastAsia="Times New Roman" w:hAnsi="Times New Roman"/>
          <w:szCs w:val="24"/>
        </w:rPr>
        <w:t>-</w:t>
      </w:r>
      <w:r w:rsidRPr="005F004D">
        <w:rPr>
          <w:rFonts w:ascii="Times New Roman" w:eastAsia="Times New Roman" w:hAnsi="Times New Roman"/>
          <w:szCs w:val="24"/>
        </w:rPr>
        <w:t>spouse, nor includible in the income of the payee</w:t>
      </w:r>
      <w:r w:rsidR="006B0A3E">
        <w:rPr>
          <w:rFonts w:ascii="Times New Roman" w:eastAsia="Times New Roman" w:hAnsi="Times New Roman"/>
          <w:szCs w:val="24"/>
        </w:rPr>
        <w:t>-</w:t>
      </w:r>
      <w:r w:rsidRPr="005F004D">
        <w:rPr>
          <w:rFonts w:ascii="Times New Roman" w:eastAsia="Times New Roman" w:hAnsi="Times New Roman"/>
          <w:szCs w:val="24"/>
        </w:rPr>
        <w:t>spouse. These changes will profoundly affect the structure of divorce settlements.</w:t>
      </w:r>
    </w:p>
    <w:p w:rsidR="00370DA7" w:rsidRPr="00370DA7" w:rsidRDefault="00370DA7" w:rsidP="00456334">
      <w:pPr>
        <w:shd w:val="clear" w:color="auto" w:fill="FFFFFF"/>
        <w:spacing w:after="0" w:line="240" w:lineRule="auto"/>
        <w:jc w:val="both"/>
        <w:rPr>
          <w:rFonts w:ascii="Times New Roman" w:eastAsia="Times New Roman" w:hAnsi="Times New Roman"/>
          <w:sz w:val="20"/>
          <w:szCs w:val="24"/>
        </w:rPr>
      </w:pPr>
    </w:p>
    <w:p w:rsidR="00C571E0" w:rsidRPr="00BD0E83" w:rsidRDefault="00C571E0" w:rsidP="00456334">
      <w:pPr>
        <w:shd w:val="clear" w:color="auto" w:fill="FFFFFF"/>
        <w:spacing w:after="0" w:line="240" w:lineRule="auto"/>
        <w:jc w:val="both"/>
        <w:rPr>
          <w:rFonts w:ascii="Times New Roman" w:eastAsia="Times New Roman" w:hAnsi="Times New Roman"/>
          <w:szCs w:val="24"/>
        </w:rPr>
      </w:pPr>
      <w:r>
        <w:rPr>
          <w:rFonts w:ascii="Times New Roman" w:hAnsi="Times New Roman"/>
          <w:b/>
          <w:bCs/>
          <w:color w:val="2F5496" w:themeColor="accent5" w:themeShade="BF"/>
          <w:sz w:val="24"/>
          <w:szCs w:val="24"/>
          <w:u w:val="single"/>
        </w:rPr>
        <w:t>The moving expense deduction</w:t>
      </w:r>
      <w:r w:rsidRPr="005F004D">
        <w:rPr>
          <w:rFonts w:ascii="Times New Roman" w:eastAsia="Times New Roman" w:hAnsi="Times New Roman"/>
          <w:szCs w:val="24"/>
        </w:rPr>
        <w:t xml:space="preserve"> is suspended</w:t>
      </w:r>
      <w:r w:rsidR="006B0A3E">
        <w:rPr>
          <w:rFonts w:ascii="Times New Roman" w:eastAsia="Times New Roman" w:hAnsi="Times New Roman"/>
          <w:szCs w:val="24"/>
        </w:rPr>
        <w:t>,</w:t>
      </w:r>
      <w:r w:rsidRPr="005F004D">
        <w:rPr>
          <w:rFonts w:ascii="Times New Roman" w:eastAsia="Times New Roman" w:hAnsi="Times New Roman"/>
          <w:szCs w:val="24"/>
        </w:rPr>
        <w:t xml:space="preserve"> except for the in-kind moving and storage expenses for members of the Armed Forces (or their spouse or dependents) on active duty who move pursuant to a military order and incident to a permanent change of station.</w:t>
      </w:r>
    </w:p>
    <w:p w:rsidR="00035AAA" w:rsidRPr="00DE763A" w:rsidRDefault="00893FF4" w:rsidP="00456334">
      <w:pPr>
        <w:shd w:val="clear" w:color="auto" w:fill="FFFFFF"/>
        <w:spacing w:after="0" w:line="240" w:lineRule="auto"/>
        <w:jc w:val="both"/>
        <w:rPr>
          <w:rFonts w:ascii="Times New Roman" w:eastAsia="Times New Roman" w:hAnsi="Times New Roman"/>
        </w:rPr>
      </w:pPr>
      <w:r w:rsidRPr="00893FF4">
        <w:rPr>
          <w:rFonts w:ascii="Times New Roman" w:eastAsia="Times New Roman" w:hAnsi="Times New Roman"/>
        </w:rPr>
        <w:t> </w:t>
      </w:r>
    </w:p>
    <w:p w:rsidR="00893FF4" w:rsidRPr="00D77039" w:rsidRDefault="00893FF4" w:rsidP="00D7703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 xml:space="preserve">Alternative Minimum Tax </w:t>
      </w:r>
      <w:r w:rsidR="008D41DB" w:rsidRPr="00D77039">
        <w:rPr>
          <w:rFonts w:ascii="Times New Roman" w:hAnsi="Times New Roman"/>
          <w:b/>
          <w:i/>
          <w:sz w:val="40"/>
          <w:szCs w:val="40"/>
          <w:shd w:val="clear" w:color="auto" w:fill="9CC2E5" w:themeFill="accent1" w:themeFillTint="99"/>
        </w:rPr>
        <w:t>(AMT) Changes</w:t>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8D41DB" w:rsidRPr="00D77039">
        <w:rPr>
          <w:rFonts w:ascii="Times New Roman" w:hAnsi="Times New Roman"/>
          <w:b/>
          <w:i/>
          <w:sz w:val="40"/>
          <w:szCs w:val="40"/>
          <w:shd w:val="clear" w:color="auto" w:fill="9CC2E5" w:themeFill="accent1" w:themeFillTint="99"/>
        </w:rPr>
        <w:t xml:space="preserve">                                                  </w:t>
      </w:r>
    </w:p>
    <w:p w:rsidR="008D41DB" w:rsidRDefault="00903E34" w:rsidP="00456334">
      <w:pPr>
        <w:spacing w:after="0" w:line="240" w:lineRule="auto"/>
        <w:jc w:val="both"/>
        <w:rPr>
          <w:rFonts w:ascii="Times New Roman" w:eastAsia="Times New Roman" w:hAnsi="Times New Roman"/>
        </w:rPr>
      </w:pPr>
      <w:bookmarkStart w:id="1" w:name="_Hlk529256265"/>
      <w:r>
        <w:rPr>
          <w:rFonts w:ascii="Times New Roman" w:eastAsia="Times New Roman" w:hAnsi="Times New Roman"/>
        </w:rPr>
        <w:t xml:space="preserve">When Tax Law changes were initially discussed, </w:t>
      </w:r>
      <w:r w:rsidRPr="00903E34">
        <w:rPr>
          <w:rFonts w:ascii="Times New Roman" w:eastAsia="Times New Roman" w:hAnsi="Times New Roman"/>
        </w:rPr>
        <w:t>there were high hopes that the dreaded individual alternative minimum tax (AMT) would be repealed. Unfortunately, it still exists under the new Tax Cuts and Jobs Act</w:t>
      </w:r>
      <w:r w:rsidR="00C06E1C">
        <w:rPr>
          <w:rFonts w:ascii="Times New Roman" w:eastAsia="Times New Roman" w:hAnsi="Times New Roman"/>
        </w:rPr>
        <w:t>. H</w:t>
      </w:r>
      <w:r w:rsidRPr="00903E34">
        <w:rPr>
          <w:rFonts w:ascii="Times New Roman" w:eastAsia="Times New Roman" w:hAnsi="Times New Roman"/>
        </w:rPr>
        <w:t>owever, the AMT rules are now more taxpayer-friendly</w:t>
      </w:r>
      <w:r w:rsidR="008D41DB">
        <w:rPr>
          <w:rFonts w:ascii="Times New Roman" w:eastAsia="Times New Roman" w:hAnsi="Times New Roman"/>
        </w:rPr>
        <w:t>.</w:t>
      </w:r>
      <w:r>
        <w:rPr>
          <w:rFonts w:ascii="Times New Roman" w:eastAsia="Times New Roman" w:hAnsi="Times New Roman"/>
        </w:rPr>
        <w:t xml:space="preserve"> </w:t>
      </w:r>
      <w:r w:rsidR="008D41DB">
        <w:rPr>
          <w:rFonts w:ascii="Times New Roman" w:eastAsia="Times New Roman" w:hAnsi="Times New Roman"/>
        </w:rPr>
        <w:t xml:space="preserve"> </w:t>
      </w:r>
    </w:p>
    <w:p w:rsidR="008D41DB" w:rsidRDefault="008D41DB" w:rsidP="00456334">
      <w:pPr>
        <w:spacing w:after="0" w:line="240" w:lineRule="auto"/>
        <w:jc w:val="both"/>
        <w:rPr>
          <w:rFonts w:ascii="Times New Roman" w:eastAsia="Times New Roman" w:hAnsi="Times New Roman"/>
        </w:rPr>
      </w:pPr>
    </w:p>
    <w:tbl>
      <w:tblPr>
        <w:tblStyle w:val="TableGrid"/>
        <w:tblpPr w:leftFromText="144" w:rightFromText="144" w:topFromText="72" w:bottomFromText="72" w:vertAnchor="text" w:horzAnchor="margin" w:tblpXSpec="right" w:tblpY="116"/>
        <w:tblOverlap w:val="never"/>
        <w:tblW w:w="0" w:type="auto"/>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ook w:val="04A0" w:firstRow="1" w:lastRow="0" w:firstColumn="1" w:lastColumn="0" w:noHBand="0" w:noVBand="1"/>
      </w:tblPr>
      <w:tblGrid>
        <w:gridCol w:w="1615"/>
        <w:gridCol w:w="1350"/>
        <w:gridCol w:w="1260"/>
        <w:gridCol w:w="1289"/>
        <w:gridCol w:w="1167"/>
      </w:tblGrid>
      <w:tr w:rsidR="001C2F4A" w:rsidTr="001C2F4A">
        <w:tc>
          <w:tcPr>
            <w:tcW w:w="6681" w:type="dxa"/>
            <w:gridSpan w:val="5"/>
            <w:shd w:val="clear" w:color="auto" w:fill="2F5496" w:themeFill="accent5" w:themeFillShade="BF"/>
          </w:tcPr>
          <w:p w:rsidR="001C2F4A" w:rsidRPr="0098214B" w:rsidRDefault="001C2F4A" w:rsidP="001C2F4A">
            <w:pPr>
              <w:spacing w:after="0" w:line="240" w:lineRule="auto"/>
              <w:jc w:val="center"/>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pPr>
            <w:r w:rsidRPr="0098214B">
              <w:rPr>
                <w:rFonts w:asciiTheme="minorHAnsi" w:eastAsia="Times New Roman" w:hAnsiTheme="minorHAnsi"/>
                <w:b/>
                <w:color w:val="FFFFFF" w:themeColor="background1"/>
                <w:sz w:val="32"/>
                <w14:shadow w14:blurRad="50800" w14:dist="38100" w14:dir="2700000" w14:sx="100000" w14:sy="100000" w14:kx="0" w14:ky="0" w14:algn="tl">
                  <w14:srgbClr w14:val="000000">
                    <w14:alpha w14:val="60000"/>
                  </w14:srgbClr>
                </w14:shadow>
              </w:rPr>
              <w:t>Alternative Minimum Tax (AMT) Table</w:t>
            </w:r>
          </w:p>
        </w:tc>
      </w:tr>
      <w:tr w:rsidR="001C2F4A" w:rsidTr="001C2F4A">
        <w:tc>
          <w:tcPr>
            <w:tcW w:w="1615" w:type="dxa"/>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Status</w:t>
            </w:r>
          </w:p>
        </w:tc>
        <w:tc>
          <w:tcPr>
            <w:tcW w:w="1350" w:type="dxa"/>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2017</w:t>
            </w:r>
          </w:p>
        </w:tc>
        <w:tc>
          <w:tcPr>
            <w:tcW w:w="3716" w:type="dxa"/>
            <w:gridSpan w:val="3"/>
            <w:shd w:val="clear" w:color="auto" w:fill="2F5496" w:themeFill="accent5" w:themeFillShade="BF"/>
          </w:tcPr>
          <w:p w:rsidR="001C2F4A" w:rsidRPr="002028E7" w:rsidRDefault="001C2F4A" w:rsidP="001C2F4A">
            <w:pPr>
              <w:spacing w:after="0" w:line="240" w:lineRule="auto"/>
              <w:jc w:val="center"/>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pPr>
            <w:r w:rsidRPr="002028E7">
              <w:rPr>
                <w:rFonts w:asciiTheme="minorHAnsi" w:eastAsia="Times New Roman" w:hAnsiTheme="minorHAnsi"/>
                <w:color w:val="FFFFFF" w:themeColor="background1"/>
                <w:sz w:val="32"/>
                <w14:shadow w14:blurRad="50800" w14:dist="38100" w14:dir="2700000" w14:sx="100000" w14:sy="100000" w14:kx="0" w14:ky="0" w14:algn="tl">
                  <w14:srgbClr w14:val="000000">
                    <w14:alpha w14:val="60000"/>
                  </w14:srgbClr>
                </w14:shadow>
              </w:rPr>
              <w:t>2018-2025</w:t>
            </w:r>
          </w:p>
        </w:tc>
      </w:tr>
      <w:tr w:rsidR="001C2F4A" w:rsidTr="001C2F4A">
        <w:tc>
          <w:tcPr>
            <w:tcW w:w="1615" w:type="dxa"/>
          </w:tcPr>
          <w:p w:rsidR="001C2F4A" w:rsidRPr="001576BF" w:rsidRDefault="001C2F4A" w:rsidP="001C2F4A">
            <w:pPr>
              <w:spacing w:after="0" w:line="240" w:lineRule="auto"/>
              <w:jc w:val="both"/>
              <w:rPr>
                <w:rFonts w:asciiTheme="minorHAnsi" w:eastAsia="Times New Roman" w:hAnsiTheme="minorHAnsi"/>
                <w:color w:val="2F5496" w:themeColor="accent5" w:themeShade="BF"/>
                <w:sz w:val="24"/>
              </w:rPr>
            </w:pPr>
          </w:p>
        </w:tc>
        <w:tc>
          <w:tcPr>
            <w:tcW w:w="1350"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Exemption</w:t>
            </w:r>
          </w:p>
        </w:tc>
        <w:tc>
          <w:tcPr>
            <w:tcW w:w="1260"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Phaseout</w:t>
            </w:r>
          </w:p>
        </w:tc>
        <w:tc>
          <w:tcPr>
            <w:tcW w:w="1289"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Exemption</w:t>
            </w:r>
          </w:p>
        </w:tc>
        <w:tc>
          <w:tcPr>
            <w:tcW w:w="1167" w:type="dxa"/>
            <w:shd w:val="clear" w:color="auto" w:fill="D9D9D9" w:themeFill="background1" w:themeFillShade="D9"/>
          </w:tcPr>
          <w:p w:rsidR="001C2F4A" w:rsidRPr="002028E7" w:rsidRDefault="001C2F4A" w:rsidP="001C2F4A">
            <w:pPr>
              <w:spacing w:after="0" w:line="240" w:lineRule="auto"/>
              <w:jc w:val="center"/>
              <w:rPr>
                <w:rFonts w:asciiTheme="minorHAnsi" w:eastAsia="Times New Roman" w:hAnsiTheme="minorHAnsi"/>
                <w:b/>
                <w:color w:val="2F5496" w:themeColor="accent5" w:themeShade="BF"/>
                <w:sz w:val="24"/>
              </w:rPr>
            </w:pPr>
            <w:r w:rsidRPr="002028E7">
              <w:rPr>
                <w:rFonts w:asciiTheme="minorHAnsi" w:eastAsia="Times New Roman" w:hAnsiTheme="minorHAnsi"/>
                <w:b/>
                <w:color w:val="2F5496" w:themeColor="accent5" w:themeShade="BF"/>
                <w:sz w:val="24"/>
              </w:rPr>
              <w:t>Phaseout</w:t>
            </w:r>
          </w:p>
        </w:tc>
      </w:tr>
      <w:tr w:rsidR="001C2F4A" w:rsidTr="001C2F4A">
        <w:tc>
          <w:tcPr>
            <w:tcW w:w="1615" w:type="dxa"/>
          </w:tcPr>
          <w:p w:rsidR="001C2F4A" w:rsidRPr="001576BF" w:rsidRDefault="001C2F4A" w:rsidP="001C2F4A">
            <w:pPr>
              <w:spacing w:after="0" w:line="240" w:lineRule="auto"/>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Single/Head of Household</w:t>
            </w:r>
          </w:p>
        </w:tc>
        <w:tc>
          <w:tcPr>
            <w:tcW w:w="135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$54,300</w:t>
            </w:r>
          </w:p>
        </w:tc>
        <w:tc>
          <w:tcPr>
            <w:tcW w:w="126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$120,700</w:t>
            </w:r>
          </w:p>
        </w:tc>
        <w:tc>
          <w:tcPr>
            <w:tcW w:w="1289"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$70,300</w:t>
            </w:r>
          </w:p>
        </w:tc>
        <w:tc>
          <w:tcPr>
            <w:tcW w:w="1167"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$500,000</w:t>
            </w:r>
          </w:p>
        </w:tc>
      </w:tr>
      <w:tr w:rsidR="001C2F4A" w:rsidTr="001C2F4A">
        <w:tc>
          <w:tcPr>
            <w:tcW w:w="1615" w:type="dxa"/>
          </w:tcPr>
          <w:p w:rsidR="001C2F4A" w:rsidRPr="001576BF" w:rsidRDefault="001C2F4A" w:rsidP="001C2F4A">
            <w:pPr>
              <w:spacing w:after="0" w:line="240" w:lineRule="auto"/>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Married Filing Jointly</w:t>
            </w:r>
          </w:p>
        </w:tc>
        <w:tc>
          <w:tcPr>
            <w:tcW w:w="135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$84,500</w:t>
            </w:r>
          </w:p>
        </w:tc>
        <w:tc>
          <w:tcPr>
            <w:tcW w:w="1260"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$160,900</w:t>
            </w:r>
          </w:p>
        </w:tc>
        <w:tc>
          <w:tcPr>
            <w:tcW w:w="1289"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$109,400</w:t>
            </w:r>
          </w:p>
        </w:tc>
        <w:tc>
          <w:tcPr>
            <w:tcW w:w="1167" w:type="dxa"/>
          </w:tcPr>
          <w:p w:rsidR="001C2F4A" w:rsidRPr="001576BF" w:rsidRDefault="001C2F4A" w:rsidP="001C2F4A">
            <w:pPr>
              <w:spacing w:after="0" w:line="240" w:lineRule="auto"/>
              <w:jc w:val="center"/>
              <w:rPr>
                <w:rFonts w:asciiTheme="minorHAnsi" w:eastAsia="Times New Roman" w:hAnsiTheme="minorHAnsi"/>
                <w:color w:val="2F5496" w:themeColor="accent5" w:themeShade="BF"/>
                <w:sz w:val="22"/>
              </w:rPr>
            </w:pPr>
            <w:r w:rsidRPr="001576BF">
              <w:rPr>
                <w:rFonts w:asciiTheme="minorHAnsi" w:eastAsia="Times New Roman" w:hAnsiTheme="minorHAnsi"/>
                <w:color w:val="2F5496" w:themeColor="accent5" w:themeShade="BF"/>
                <w:sz w:val="22"/>
              </w:rPr>
              <w:t>$1 million</w:t>
            </w:r>
          </w:p>
        </w:tc>
      </w:tr>
    </w:tbl>
    <w:p w:rsidR="001576BF" w:rsidRPr="005F004D" w:rsidRDefault="00903E34" w:rsidP="00456334">
      <w:pPr>
        <w:spacing w:after="0" w:line="240" w:lineRule="auto"/>
        <w:jc w:val="both"/>
        <w:rPr>
          <w:rFonts w:ascii="Times New Roman" w:eastAsia="Times New Roman" w:hAnsi="Times New Roman"/>
        </w:rPr>
      </w:pPr>
      <w:r>
        <w:rPr>
          <w:rFonts w:ascii="Times New Roman" w:eastAsia="Times New Roman" w:hAnsi="Times New Roman"/>
        </w:rPr>
        <w:t xml:space="preserve">The AMT calculation can be complicated and you should discuss your situation with your tax professional, but here are some basic facts. </w:t>
      </w:r>
      <w:r w:rsidR="006A1367" w:rsidRPr="005F004D">
        <w:rPr>
          <w:rFonts w:ascii="Times New Roman" w:eastAsia="Times New Roman" w:hAnsi="Times New Roman"/>
        </w:rPr>
        <w:t>In 2017, the AMT e</w:t>
      </w:r>
      <w:r w:rsidR="006A1367">
        <w:rPr>
          <w:rFonts w:ascii="Times New Roman" w:eastAsia="Times New Roman" w:hAnsi="Times New Roman"/>
        </w:rPr>
        <w:t>xemption amount was</w:t>
      </w:r>
      <w:r w:rsidR="006A1367" w:rsidRPr="005F004D">
        <w:rPr>
          <w:rFonts w:ascii="Times New Roman" w:eastAsia="Times New Roman" w:hAnsi="Times New Roman"/>
        </w:rPr>
        <w:t xml:space="preserve"> $54,300 for unmarried individuals ($84,500 for married individuals filing a joint return). This exemption is phased out at a 25 percent rate when alternative minimum taxable income (AMTI) exceeds $120,700 ($160,900 for married individuals filing a joint return). In 2018, the exemptions significantly increase to $70,300 for unmarried individuals ($109,400 for married</w:t>
      </w:r>
      <w:r w:rsidR="001C2F4A">
        <w:rPr>
          <w:rFonts w:ascii="Times New Roman" w:eastAsia="Times New Roman" w:hAnsi="Times New Roman"/>
        </w:rPr>
        <w:t xml:space="preserve"> </w:t>
      </w:r>
      <w:r w:rsidR="001C2F4A" w:rsidRPr="005F004D">
        <w:rPr>
          <w:rFonts w:ascii="Times New Roman" w:eastAsia="Times New Roman" w:hAnsi="Times New Roman"/>
        </w:rPr>
        <w:t>individuals filing a joint return). More importantly, the phaseout thresholds are increased to $1 million for married individuals filing a joint return and $500,000 for other individual taxpayers</w:t>
      </w:r>
      <w:r w:rsidR="001C2F4A">
        <w:rPr>
          <w:rFonts w:ascii="Times New Roman" w:eastAsia="Times New Roman" w:hAnsi="Times New Roman"/>
        </w:rPr>
        <w:t>.</w:t>
      </w:r>
      <w:r w:rsidR="001C2F4A" w:rsidRPr="005F004D">
        <w:rPr>
          <w:rFonts w:ascii="Times New Roman" w:eastAsia="Times New Roman" w:hAnsi="Times New Roman"/>
        </w:rPr>
        <w:t xml:space="preserve"> High-income taxpayers, particularly those in high-tax states like California, New York, and New Jersey</w:t>
      </w:r>
      <w:r w:rsidR="001C2F4A">
        <w:rPr>
          <w:rFonts w:ascii="Times New Roman" w:eastAsia="Times New Roman" w:hAnsi="Times New Roman"/>
        </w:rPr>
        <w:t>,</w:t>
      </w:r>
      <w:r w:rsidR="001C2F4A" w:rsidRPr="005F004D">
        <w:rPr>
          <w:rFonts w:ascii="Times New Roman" w:eastAsia="Times New Roman" w:hAnsi="Times New Roman"/>
        </w:rPr>
        <w:t xml:space="preserve"> are going to lose significant amounts of deductions because of the $10,000 cap on state and local taxes, but they </w:t>
      </w:r>
      <w:r w:rsidR="001C2F4A">
        <w:rPr>
          <w:rFonts w:ascii="Times New Roman" w:eastAsia="Times New Roman" w:hAnsi="Times New Roman"/>
        </w:rPr>
        <w:t>could</w:t>
      </w:r>
      <w:r w:rsidR="001C2F4A" w:rsidRPr="005F004D">
        <w:rPr>
          <w:rFonts w:ascii="Times New Roman" w:eastAsia="Times New Roman" w:hAnsi="Times New Roman"/>
        </w:rPr>
        <w:t xml:space="preserve"> have some relief because of the lower tax rates and changes made to the alternative minimum tax</w:t>
      </w:r>
      <w:r w:rsidR="001C2F4A">
        <w:rPr>
          <w:rFonts w:ascii="Times New Roman" w:eastAsia="Times New Roman" w:hAnsi="Times New Roman"/>
        </w:rPr>
        <w:t xml:space="preserve">. </w:t>
      </w:r>
    </w:p>
    <w:p w:rsidR="006A1367" w:rsidRDefault="006A1367" w:rsidP="00456334">
      <w:pPr>
        <w:spacing w:after="0" w:line="240" w:lineRule="auto"/>
        <w:jc w:val="both"/>
        <w:rPr>
          <w:rFonts w:ascii="Times New Roman" w:eastAsia="Times New Roman" w:hAnsi="Times New Roman"/>
        </w:rPr>
      </w:pPr>
    </w:p>
    <w:p w:rsidR="00893FF4" w:rsidRDefault="00D9744A" w:rsidP="00456334">
      <w:pPr>
        <w:spacing w:after="0" w:line="240" w:lineRule="auto"/>
        <w:jc w:val="both"/>
        <w:rPr>
          <w:rFonts w:ascii="Times New Roman" w:eastAsia="Times New Roman" w:hAnsi="Times New Roman"/>
        </w:rPr>
      </w:pPr>
      <w:r w:rsidRPr="00D9744A">
        <w:rPr>
          <w:rFonts w:ascii="Times New Roman" w:eastAsia="Times New Roman" w:hAnsi="Times New Roman"/>
        </w:rPr>
        <w:t xml:space="preserve">Although the </w:t>
      </w:r>
      <w:r w:rsidR="008D41DB">
        <w:rPr>
          <w:rFonts w:ascii="Times New Roman" w:eastAsia="Times New Roman" w:hAnsi="Times New Roman"/>
        </w:rPr>
        <w:t>new tax laws reduce</w:t>
      </w:r>
      <w:r w:rsidRPr="00D9744A">
        <w:rPr>
          <w:rFonts w:ascii="Times New Roman" w:eastAsia="Times New Roman" w:hAnsi="Times New Roman"/>
        </w:rPr>
        <w:t xml:space="preserve"> the odds that you will owe the AMT for 2018-20</w:t>
      </w:r>
      <w:r w:rsidR="006B0A3E">
        <w:rPr>
          <w:rFonts w:ascii="Times New Roman" w:eastAsia="Times New Roman" w:hAnsi="Times New Roman"/>
        </w:rPr>
        <w:t>2</w:t>
      </w:r>
      <w:r w:rsidRPr="00D9744A">
        <w:rPr>
          <w:rFonts w:ascii="Times New Roman" w:eastAsia="Times New Roman" w:hAnsi="Times New Roman"/>
        </w:rPr>
        <w:t>5</w:t>
      </w:r>
      <w:r>
        <w:rPr>
          <w:rFonts w:ascii="Times New Roman" w:eastAsia="Times New Roman" w:hAnsi="Times New Roman"/>
        </w:rPr>
        <w:t>,</w:t>
      </w:r>
      <w:r w:rsidR="008D41DB" w:rsidRPr="008D41DB">
        <w:rPr>
          <w:rFonts w:ascii="Times New Roman" w:eastAsia="Times New Roman" w:hAnsi="Times New Roman"/>
        </w:rPr>
        <w:t xml:space="preserve"> </w:t>
      </w:r>
      <w:r w:rsidR="008D41DB" w:rsidRPr="00903E34">
        <w:rPr>
          <w:rFonts w:ascii="Times New Roman" w:eastAsia="Times New Roman" w:hAnsi="Times New Roman"/>
        </w:rPr>
        <w:t>if your AMT bill exceeds your regular tax bill, you owe the higher AMT amount</w:t>
      </w:r>
      <w:r w:rsidR="00903E34">
        <w:rPr>
          <w:rFonts w:ascii="Times New Roman" w:eastAsia="Times New Roman" w:hAnsi="Times New Roman"/>
        </w:rPr>
        <w:t>. The good news could be</w:t>
      </w:r>
      <w:r w:rsidR="00C06E1C">
        <w:rPr>
          <w:rFonts w:ascii="Times New Roman" w:eastAsia="Times New Roman" w:hAnsi="Times New Roman"/>
        </w:rPr>
        <w:t xml:space="preserve"> that</w:t>
      </w:r>
      <w:r w:rsidR="00903E34">
        <w:rPr>
          <w:rFonts w:ascii="Times New Roman" w:eastAsia="Times New Roman" w:hAnsi="Times New Roman"/>
        </w:rPr>
        <w:t xml:space="preserve"> </w:t>
      </w:r>
      <w:r w:rsidR="00903E34" w:rsidRPr="00903E34">
        <w:rPr>
          <w:rFonts w:ascii="Times New Roman" w:eastAsia="Times New Roman" w:hAnsi="Times New Roman"/>
        </w:rPr>
        <w:t>if you owe the AMT under the new rules for 2018-2025, you probably owe less (maybe a lot less) than under the old rules.</w:t>
      </w:r>
    </w:p>
    <w:bookmarkEnd w:id="1"/>
    <w:p w:rsidR="00A10BB6" w:rsidRPr="004C0D65" w:rsidRDefault="00A10BB6" w:rsidP="00456334">
      <w:pPr>
        <w:shd w:val="clear" w:color="auto" w:fill="FFFFFF"/>
        <w:spacing w:before="180" w:after="0" w:line="240" w:lineRule="auto"/>
        <w:rPr>
          <w:rFonts w:ascii="Times New Roman" w:eastAsia="Times New Roman" w:hAnsi="Times New Roman"/>
          <w:b/>
          <w:sz w:val="8"/>
          <w:szCs w:val="16"/>
        </w:rPr>
      </w:pPr>
    </w:p>
    <w:p w:rsidR="008D41DB" w:rsidRPr="005F004D" w:rsidRDefault="008D41DB" w:rsidP="00D77039">
      <w:pPr>
        <w:shd w:val="clear" w:color="auto" w:fill="FFFFFF"/>
        <w:spacing w:after="0"/>
        <w:jc w:val="both"/>
        <w:rPr>
          <w:rFonts w:ascii="Times New Roman" w:hAnsi="Times New Roman"/>
          <w:color w:val="1F4E79" w:themeColor="accent1" w:themeShade="80"/>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t>Other Family and Education Planning</w:t>
      </w:r>
      <w:r w:rsidRPr="00D77039">
        <w:rPr>
          <w:rFonts w:ascii="Times New Roman" w:hAnsi="Times New Roman"/>
          <w:b/>
          <w:i/>
          <w:sz w:val="40"/>
          <w:szCs w:val="40"/>
          <w:shd w:val="clear" w:color="auto" w:fill="9CC2E5" w:themeFill="accent1" w:themeFillTint="99"/>
        </w:rPr>
        <w:tab/>
        <w:t>Changes</w:t>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r>
        <w:rPr>
          <w:rFonts w:ascii="Times New Roman" w:hAnsi="Times New Roman"/>
          <w:color w:val="1F4E79" w:themeColor="accent1" w:themeShade="80"/>
          <w:sz w:val="40"/>
          <w:szCs w:val="40"/>
          <w:shd w:val="clear" w:color="auto" w:fill="9CC2E5" w:themeFill="accent1" w:themeFillTint="99"/>
        </w:rPr>
        <w:tab/>
      </w:r>
    </w:p>
    <w:p w:rsidR="008D41DB" w:rsidRPr="005F004D"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Child and family credit.</w:t>
      </w:r>
      <w:r w:rsidRPr="005F004D">
        <w:rPr>
          <w:rFonts w:ascii="Times New Roman" w:eastAsia="Times New Roman" w:hAnsi="Times New Roman"/>
        </w:rPr>
        <w:t> The act increases the child tax credit to $2,000 per qualifying child</w:t>
      </w:r>
      <w:r w:rsidR="00C06E1C">
        <w:rPr>
          <w:rFonts w:ascii="Times New Roman" w:eastAsia="Times New Roman" w:hAnsi="Times New Roman"/>
        </w:rPr>
        <w:t>, with</w:t>
      </w:r>
      <w:r w:rsidRPr="005F004D">
        <w:rPr>
          <w:rFonts w:ascii="Times New Roman" w:eastAsia="Times New Roman" w:hAnsi="Times New Roman"/>
        </w:rPr>
        <w:t xml:space="preserve"> $1,400 of this amount </w:t>
      </w:r>
      <w:r w:rsidR="00C06E1C">
        <w:rPr>
          <w:rFonts w:ascii="Times New Roman" w:eastAsia="Times New Roman" w:hAnsi="Times New Roman"/>
        </w:rPr>
        <w:t>being</w:t>
      </w:r>
      <w:r w:rsidRPr="005F004D">
        <w:rPr>
          <w:rFonts w:ascii="Times New Roman" w:eastAsia="Times New Roman" w:hAnsi="Times New Roman"/>
        </w:rPr>
        <w:t xml:space="preserve"> refundable. The act also adds a $500 nonrefundable credit for qualifying dependents other than children. More importantly, the act increases the phaseout for the child tax credit to $400,000 from $110,000 for married taxpayers filing a joint return and to $200,000 from $75,000 for other taxpayers.</w:t>
      </w:r>
    </w:p>
    <w:p w:rsidR="008D41DB" w:rsidRPr="00C7297D" w:rsidRDefault="008D41DB" w:rsidP="00456334">
      <w:pPr>
        <w:shd w:val="clear" w:color="auto" w:fill="FFFFFF"/>
        <w:spacing w:after="0" w:line="240" w:lineRule="auto"/>
        <w:jc w:val="both"/>
        <w:rPr>
          <w:rFonts w:ascii="Times New Roman" w:eastAsia="Times New Roman" w:hAnsi="Times New Roman"/>
          <w:b/>
          <w:bCs/>
          <w:sz w:val="20"/>
        </w:rPr>
      </w:pPr>
    </w:p>
    <w:p w:rsidR="008D41DB" w:rsidRPr="005F004D"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Education benefits.</w:t>
      </w:r>
      <w:r w:rsidRPr="005F004D">
        <w:rPr>
          <w:rFonts w:ascii="Times New Roman" w:eastAsia="Times New Roman" w:hAnsi="Times New Roman"/>
        </w:rPr>
        <w:t> Although they were in jeopardy, education benefit</w:t>
      </w:r>
      <w:r w:rsidR="00C06E1C">
        <w:rPr>
          <w:rFonts w:ascii="Times New Roman" w:eastAsia="Times New Roman" w:hAnsi="Times New Roman"/>
        </w:rPr>
        <w:t xml:space="preserve">s - </w:t>
      </w:r>
      <w:r w:rsidRPr="005F004D">
        <w:rPr>
          <w:rFonts w:ascii="Times New Roman" w:eastAsia="Times New Roman" w:hAnsi="Times New Roman"/>
        </w:rPr>
        <w:t>the student loan interest deduction</w:t>
      </w:r>
      <w:r w:rsidR="00C06E1C">
        <w:rPr>
          <w:rFonts w:ascii="Times New Roman" w:eastAsia="Times New Roman" w:hAnsi="Times New Roman"/>
        </w:rPr>
        <w:t>,</w:t>
      </w:r>
      <w:r w:rsidRPr="005F004D">
        <w:rPr>
          <w:rFonts w:ascii="Times New Roman" w:eastAsia="Times New Roman" w:hAnsi="Times New Roman"/>
        </w:rPr>
        <w:t xml:space="preserve"> education credits, exclusion for savings bond interest, tuition waivers for graduate students, and the educational assistance fringe benefit</w:t>
      </w:r>
      <w:r w:rsidR="00C06E1C">
        <w:rPr>
          <w:rFonts w:ascii="Times New Roman" w:eastAsia="Times New Roman" w:hAnsi="Times New Roman"/>
        </w:rPr>
        <w:t xml:space="preserve"> - </w:t>
      </w:r>
      <w:r w:rsidRPr="005F004D">
        <w:rPr>
          <w:rFonts w:ascii="Times New Roman" w:eastAsia="Times New Roman" w:hAnsi="Times New Roman"/>
        </w:rPr>
        <w:t>remain intact.</w:t>
      </w:r>
    </w:p>
    <w:p w:rsidR="008D41DB" w:rsidRPr="00C7297D" w:rsidRDefault="008D41DB" w:rsidP="00456334">
      <w:pPr>
        <w:shd w:val="clear" w:color="auto" w:fill="FFFFFF"/>
        <w:spacing w:after="0" w:line="240" w:lineRule="auto"/>
        <w:jc w:val="both"/>
        <w:rPr>
          <w:rFonts w:ascii="Times New Roman" w:eastAsia="Times New Roman" w:hAnsi="Times New Roman"/>
          <w:b/>
          <w:bCs/>
          <w:sz w:val="20"/>
        </w:rPr>
      </w:pPr>
    </w:p>
    <w:p w:rsidR="008D41DB" w:rsidRDefault="008D41DB" w:rsidP="00456334">
      <w:pPr>
        <w:shd w:val="clear" w:color="auto" w:fill="FFFFFF"/>
        <w:spacing w:after="0" w:line="240" w:lineRule="auto"/>
        <w:jc w:val="both"/>
        <w:rPr>
          <w:rFonts w:ascii="Times New Roman" w:eastAsia="Times New Roman" w:hAnsi="Times New Roman"/>
        </w:rPr>
      </w:pPr>
      <w:r w:rsidRPr="003C5267">
        <w:rPr>
          <w:rFonts w:ascii="Times New Roman" w:hAnsi="Times New Roman"/>
          <w:b/>
          <w:bCs/>
          <w:color w:val="2F5496" w:themeColor="accent5" w:themeShade="BF"/>
          <w:sz w:val="24"/>
          <w:szCs w:val="24"/>
          <w:u w:val="single"/>
        </w:rPr>
        <w:t>ABLE accounts.</w:t>
      </w:r>
      <w:r w:rsidRPr="005F004D">
        <w:rPr>
          <w:rFonts w:ascii="Times New Roman" w:eastAsia="Times New Roman" w:hAnsi="Times New Roman"/>
        </w:rPr>
        <w:t> Contributions to ABLE accounts are now eligible for the retirement saver’s credit and a child’s 529 account can be rolled over to an ABLE account for the child.</w:t>
      </w:r>
    </w:p>
    <w:p w:rsidR="002028E7" w:rsidRPr="00BD0E83" w:rsidRDefault="002028E7" w:rsidP="00456334">
      <w:pPr>
        <w:shd w:val="clear" w:color="auto" w:fill="FFFFFF"/>
        <w:spacing w:after="0" w:line="240" w:lineRule="auto"/>
        <w:jc w:val="both"/>
        <w:rPr>
          <w:rFonts w:ascii="Times New Roman" w:eastAsia="Times New Roman" w:hAnsi="Times New Roman"/>
        </w:rPr>
      </w:pPr>
    </w:p>
    <w:p w:rsidR="008D41DB" w:rsidRPr="00D74C78" w:rsidRDefault="008D41DB" w:rsidP="00D77039">
      <w:pPr>
        <w:shd w:val="clear" w:color="auto" w:fill="FFFFFF"/>
        <w:spacing w:after="0"/>
        <w:jc w:val="both"/>
        <w:rPr>
          <w:rFonts w:ascii="Times New Roman" w:eastAsia="Times New Roman" w:hAnsi="Times New Roman"/>
        </w:rPr>
      </w:pPr>
      <w:r w:rsidRPr="00D77039">
        <w:rPr>
          <w:rFonts w:ascii="Times New Roman" w:hAnsi="Times New Roman"/>
          <w:b/>
          <w:i/>
          <w:sz w:val="40"/>
          <w:szCs w:val="40"/>
          <w:shd w:val="clear" w:color="auto" w:fill="9CC2E5" w:themeFill="accent1" w:themeFillTint="99"/>
        </w:rPr>
        <w:lastRenderedPageBreak/>
        <w:t>Charitable Giving</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8D41DB" w:rsidRPr="006650EE" w:rsidRDefault="008D41DB" w:rsidP="00456334">
      <w:pPr>
        <w:shd w:val="clear" w:color="auto" w:fill="FFFFFF"/>
        <w:spacing w:after="0" w:line="240" w:lineRule="auto"/>
        <w:jc w:val="both"/>
        <w:rPr>
          <w:rFonts w:ascii="Times New Roman" w:eastAsia="Times New Roman" w:hAnsi="Times New Roman"/>
        </w:rPr>
      </w:pPr>
      <w:r w:rsidRPr="00C66AEC">
        <w:rPr>
          <w:rFonts w:ascii="Times New Roman" w:eastAsia="Times New Roman" w:hAnsi="Times New Roman"/>
        </w:rPr>
        <w:t xml:space="preserve">This is a great time of year to clean out your garage and give your items to charity. Please remember that you can only write off these donations to a charitable organization if you itemize your deductions. Sometimes your donations can be difficult to value. </w:t>
      </w:r>
      <w:r w:rsidRPr="006650EE">
        <w:rPr>
          <w:rFonts w:ascii="Times New Roman" w:eastAsia="Times New Roman" w:hAnsi="Times New Roman"/>
        </w:rPr>
        <w:t xml:space="preserve">You can find estimated values for your donated items through a value guide offered by Goodwill at </w:t>
      </w:r>
      <w:r w:rsidR="00981534" w:rsidRPr="00981534">
        <w:rPr>
          <w:rFonts w:ascii="Times New Roman" w:eastAsia="Times New Roman" w:hAnsi="Times New Roman"/>
        </w:rPr>
        <w:t>https://goodwillnne.org/donate/donation-value-guide/</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Pr="00C66AEC" w:rsidRDefault="008D41DB" w:rsidP="00456334">
      <w:pPr>
        <w:shd w:val="clear" w:color="auto" w:fill="FFFFFF"/>
        <w:spacing w:after="0" w:line="240" w:lineRule="auto"/>
        <w:jc w:val="both"/>
        <w:rPr>
          <w:rFonts w:ascii="Times New Roman" w:eastAsia="Times New Roman" w:hAnsi="Times New Roman"/>
        </w:rPr>
      </w:pPr>
      <w:r w:rsidRPr="00C66AEC">
        <w:rPr>
          <w:rFonts w:ascii="Times New Roman" w:eastAsia="Times New Roman" w:hAnsi="Times New Roman"/>
        </w:rPr>
        <w:t>Send cash donations to your favor</w:t>
      </w:r>
      <w:r>
        <w:rPr>
          <w:rFonts w:ascii="Times New Roman" w:eastAsia="Times New Roman" w:hAnsi="Times New Roman"/>
        </w:rPr>
        <w:t>ite charity by December 31, 2018</w:t>
      </w:r>
      <w:r w:rsidRPr="00C66AEC">
        <w:rPr>
          <w:rFonts w:ascii="Times New Roman" w:eastAsia="Times New Roman" w:hAnsi="Times New Roman"/>
        </w:rPr>
        <w:t>, and be sure to hold on to your cancelled check or credit card receipt as proof of your donation. If you contribute $250 or more, you also need a written acknowledgement from the charity. If you plan to make a significant gift to charity this year, consider gifting appreciated stocks or other investments that you have owned for more than one year. Doing so boosts the savings on your tax returns. Your charitable contribution deduction is the fair market value of the securities on the date of the gift, not th</w:t>
      </w:r>
      <w:r>
        <w:rPr>
          <w:rFonts w:ascii="Times New Roman" w:eastAsia="Times New Roman" w:hAnsi="Times New Roman"/>
        </w:rPr>
        <w:t>e amount you paid for the asset</w:t>
      </w:r>
      <w:r w:rsidRPr="00C66AEC">
        <w:rPr>
          <w:rFonts w:ascii="Times New Roman" w:eastAsia="Times New Roman" w:hAnsi="Times New Roman"/>
        </w:rPr>
        <w:t xml:space="preserve"> and therefore you avoid hav</w:t>
      </w:r>
      <w:r>
        <w:rPr>
          <w:rFonts w:ascii="Times New Roman" w:eastAsia="Times New Roman" w:hAnsi="Times New Roman"/>
        </w:rPr>
        <w:t>ing to pay taxes on the profit.</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Pr="00821C0A" w:rsidRDefault="008D41DB" w:rsidP="00456334">
      <w:pPr>
        <w:spacing w:after="0" w:line="240" w:lineRule="auto"/>
        <w:jc w:val="both"/>
        <w:rPr>
          <w:rFonts w:eastAsiaTheme="minorHAnsi"/>
          <w:color w:val="1F497D"/>
        </w:rPr>
      </w:pPr>
      <w:r w:rsidRPr="00821C0A">
        <w:rPr>
          <w:rFonts w:ascii="Times New Roman" w:eastAsia="Times New Roman" w:hAnsi="Times New Roman"/>
        </w:rPr>
        <w:t xml:space="preserve">Do not donate investments that have lost value. It is best to sell the asset with the loss first and then donate the proceeds, allowing you to take both the charitable contribution deduction and the capital loss. </w:t>
      </w:r>
      <w:r>
        <w:rPr>
          <w:rFonts w:ascii="Times New Roman" w:eastAsia="Times New Roman" w:hAnsi="Times New Roman"/>
        </w:rPr>
        <w:t>Also r</w:t>
      </w:r>
      <w:r w:rsidRPr="00821C0A">
        <w:rPr>
          <w:rFonts w:ascii="Times New Roman" w:eastAsia="Times New Roman" w:hAnsi="Times New Roman"/>
        </w:rPr>
        <w:t>emember, if you give appreciated property to charity, the unrealized gain must be long-term capital gain</w:t>
      </w:r>
      <w:r>
        <w:rPr>
          <w:rFonts w:ascii="Times New Roman" w:eastAsia="Times New Roman" w:hAnsi="Times New Roman"/>
        </w:rPr>
        <w:t>s</w:t>
      </w:r>
      <w:r w:rsidRPr="00821C0A">
        <w:rPr>
          <w:rFonts w:ascii="Times New Roman" w:eastAsia="Times New Roman" w:hAnsi="Times New Roman"/>
        </w:rPr>
        <w:t xml:space="preserve"> in order for th</w:t>
      </w:r>
      <w:r>
        <w:rPr>
          <w:rFonts w:ascii="Times New Roman" w:eastAsia="Times New Roman" w:hAnsi="Times New Roman"/>
        </w:rPr>
        <w:t>e entire fair market value</w:t>
      </w:r>
      <w:r w:rsidRPr="00821C0A">
        <w:rPr>
          <w:rFonts w:ascii="Times New Roman" w:eastAsia="Times New Roman" w:hAnsi="Times New Roman"/>
        </w:rPr>
        <w:t xml:space="preserve"> to be deductible. </w:t>
      </w:r>
      <w:r>
        <w:rPr>
          <w:rFonts w:ascii="Times New Roman" w:eastAsia="Times New Roman" w:hAnsi="Times New Roman"/>
        </w:rPr>
        <w:t>(</w:t>
      </w:r>
      <w:r w:rsidRPr="00821C0A">
        <w:rPr>
          <w:rFonts w:ascii="Times New Roman" w:eastAsia="Times New Roman" w:hAnsi="Times New Roman"/>
        </w:rPr>
        <w:t>The amount of the charitable deduction must be reduced by any unrealized ordinary income, depreciation recapture and/or short-term gain.)</w:t>
      </w:r>
    </w:p>
    <w:p w:rsidR="008D41DB" w:rsidRPr="00C66AEC" w:rsidRDefault="008D41DB" w:rsidP="00456334">
      <w:pPr>
        <w:shd w:val="clear" w:color="auto" w:fill="FFFFFF"/>
        <w:spacing w:after="0" w:line="240" w:lineRule="auto"/>
        <w:jc w:val="both"/>
        <w:rPr>
          <w:rFonts w:ascii="Times New Roman" w:eastAsia="Times New Roman" w:hAnsi="Times New Roman"/>
        </w:rPr>
      </w:pPr>
    </w:p>
    <w:p w:rsidR="008D41DB" w:rsidRDefault="008D41DB" w:rsidP="00456334">
      <w:pPr>
        <w:shd w:val="clear" w:color="auto" w:fill="FFFFFF"/>
        <w:spacing w:after="0" w:line="240" w:lineRule="auto"/>
        <w:jc w:val="both"/>
        <w:rPr>
          <w:rFonts w:ascii="Times New Roman" w:eastAsia="Times New Roman" w:hAnsi="Times New Roman"/>
        </w:rPr>
      </w:pPr>
      <w:r w:rsidRPr="00BD0E83">
        <w:rPr>
          <w:rFonts w:ascii="Times New Roman" w:eastAsia="Times New Roman" w:hAnsi="Times New Roman"/>
          <w:b/>
        </w:rPr>
        <w:t xml:space="preserve">The law allowing taxpayers age 70½ and older to make a qualified charitable distribution </w:t>
      </w:r>
      <w:r w:rsidR="006B0A3E">
        <w:rPr>
          <w:rFonts w:ascii="Times New Roman" w:eastAsia="Times New Roman" w:hAnsi="Times New Roman"/>
          <w:b/>
        </w:rPr>
        <w:t>(QCD)</w:t>
      </w:r>
      <w:r w:rsidRPr="00BD0E83">
        <w:rPr>
          <w:rFonts w:ascii="Times New Roman" w:eastAsia="Times New Roman" w:hAnsi="Times New Roman"/>
          <w:b/>
        </w:rPr>
        <w:t>in the form of a direct transfer of up to $100,000 directly from their IRA over to a charity, satisfying all or part of the required minimum distribution (RMD) was made permanent in 2015.</w:t>
      </w:r>
      <w:r>
        <w:rPr>
          <w:rFonts w:ascii="Times New Roman" w:eastAsia="Times New Roman" w:hAnsi="Times New Roman"/>
        </w:rPr>
        <w:t xml:space="preserve">  If you meet the qualifications to utilize this strategy, the funds must come out of your IRA by your RMD deadline </w:t>
      </w:r>
      <w:r w:rsidRPr="00DE4D0E">
        <w:rPr>
          <w:rFonts w:ascii="Times New Roman" w:eastAsia="Times New Roman" w:hAnsi="Times New Roman"/>
        </w:rPr>
        <w:t>(i.e. Decemb</w:t>
      </w:r>
      <w:r>
        <w:rPr>
          <w:rFonts w:ascii="Times New Roman" w:eastAsia="Times New Roman" w:hAnsi="Times New Roman"/>
        </w:rPr>
        <w:t>er 31, 2018</w:t>
      </w:r>
      <w:r w:rsidRPr="00DE4D0E">
        <w:rPr>
          <w:rFonts w:ascii="Times New Roman" w:eastAsia="Times New Roman" w:hAnsi="Times New Roman"/>
        </w:rPr>
        <w:t>)</w:t>
      </w:r>
      <w:r>
        <w:rPr>
          <w:rFonts w:ascii="Times New Roman" w:eastAsia="Times New Roman" w:hAnsi="Times New Roman"/>
        </w:rPr>
        <w:t>.</w:t>
      </w:r>
    </w:p>
    <w:p w:rsidR="008D41DB" w:rsidRPr="00A7423C" w:rsidRDefault="008D41DB" w:rsidP="00456334">
      <w:pPr>
        <w:shd w:val="clear" w:color="auto" w:fill="FFFFFF"/>
        <w:spacing w:after="0" w:line="240" w:lineRule="auto"/>
        <w:jc w:val="both"/>
        <w:rPr>
          <w:rFonts w:ascii="Times New Roman" w:eastAsia="Times New Roman" w:hAnsi="Times New Roman"/>
        </w:rPr>
      </w:pPr>
    </w:p>
    <w:p w:rsidR="00A10BB6" w:rsidRPr="00FB450A" w:rsidRDefault="00A10BB6" w:rsidP="00D77039">
      <w:pPr>
        <w:shd w:val="clear" w:color="auto" w:fill="FFFFFF"/>
        <w:spacing w:after="0"/>
        <w:jc w:val="both"/>
        <w:rPr>
          <w:rFonts w:ascii="Times New Roman" w:eastAsia="Times New Roman" w:hAnsi="Times New Roman"/>
        </w:rPr>
      </w:pPr>
      <w:r w:rsidRPr="00D77039">
        <w:rPr>
          <w:rFonts w:ascii="Times New Roman" w:hAnsi="Times New Roman"/>
          <w:b/>
          <w:i/>
          <w:sz w:val="40"/>
          <w:szCs w:val="40"/>
          <w:shd w:val="clear" w:color="auto" w:fill="9CC2E5" w:themeFill="accent1" w:themeFillTint="99"/>
        </w:rPr>
        <w:t>Additional Year-end Tax Strategies and Ideas</w:t>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r w:rsidRPr="00FB450A">
        <w:rPr>
          <w:rFonts w:ascii="Times New Roman" w:hAnsi="Times New Roman"/>
          <w:b/>
          <w:i/>
          <w:color w:val="1F4E79" w:themeColor="accent1" w:themeShade="80"/>
          <w:sz w:val="40"/>
          <w:szCs w:val="40"/>
          <w:shd w:val="clear" w:color="auto" w:fill="9CC2E5" w:themeFill="accent1" w:themeFillTint="99"/>
        </w:rPr>
        <w:tab/>
      </w:r>
    </w:p>
    <w:p w:rsidR="00FB450A" w:rsidRPr="00C55743" w:rsidRDefault="00FB450A" w:rsidP="00456334">
      <w:pPr>
        <w:spacing w:line="240" w:lineRule="auto"/>
        <w:jc w:val="both"/>
        <w:rPr>
          <w:rFonts w:ascii="Times New Roman" w:eastAsia="Times New Roman" w:hAnsi="Times New Roman"/>
        </w:rPr>
      </w:pPr>
      <w:r w:rsidRPr="00FB450A">
        <w:rPr>
          <w:rFonts w:ascii="Times New Roman" w:hAnsi="Times New Roman"/>
          <w:b/>
          <w:bCs/>
          <w:color w:val="2F5496" w:themeColor="accent5" w:themeShade="BF"/>
          <w:sz w:val="24"/>
          <w:szCs w:val="24"/>
          <w:u w:val="single"/>
        </w:rPr>
        <w:t>Make use of the annual gift tax exclusion.</w:t>
      </w:r>
      <w:r w:rsidRPr="00FB450A">
        <w:rPr>
          <w:rFonts w:ascii="Times New Roman" w:hAnsi="Times New Roman"/>
        </w:rPr>
        <w:t xml:space="preserve"> </w:t>
      </w:r>
      <w:r w:rsidR="009B1FAB">
        <w:rPr>
          <w:rFonts w:ascii="Times New Roman" w:eastAsia="Times New Roman" w:hAnsi="Times New Roman"/>
        </w:rPr>
        <w:t>You may gift up to $15</w:t>
      </w:r>
      <w:r w:rsidRPr="00FB450A">
        <w:rPr>
          <w:rFonts w:ascii="Times New Roman" w:eastAsia="Times New Roman" w:hAnsi="Times New Roman"/>
        </w:rPr>
        <w:t>,00</w:t>
      </w:r>
      <w:r w:rsidR="009B1FAB">
        <w:rPr>
          <w:rFonts w:ascii="Times New Roman" w:eastAsia="Times New Roman" w:hAnsi="Times New Roman"/>
        </w:rPr>
        <w:t xml:space="preserve">0 tax-free to each </w:t>
      </w:r>
      <w:proofErr w:type="spellStart"/>
      <w:r w:rsidR="009B1FAB">
        <w:rPr>
          <w:rFonts w:ascii="Times New Roman" w:eastAsia="Times New Roman" w:hAnsi="Times New Roman"/>
        </w:rPr>
        <w:t>donee</w:t>
      </w:r>
      <w:proofErr w:type="spellEnd"/>
      <w:r w:rsidR="009B1FAB">
        <w:rPr>
          <w:rFonts w:ascii="Times New Roman" w:eastAsia="Times New Roman" w:hAnsi="Times New Roman"/>
        </w:rPr>
        <w:t xml:space="preserve"> in 2018</w:t>
      </w:r>
      <w:r w:rsidRPr="00FB450A">
        <w:rPr>
          <w:rFonts w:ascii="Times New Roman" w:eastAsia="Times New Roman" w:hAnsi="Times New Roman"/>
        </w:rPr>
        <w:t>. These “annual exclusio</w:t>
      </w:r>
      <w:r w:rsidR="009B1FAB">
        <w:rPr>
          <w:rFonts w:ascii="Times New Roman" w:eastAsia="Times New Roman" w:hAnsi="Times New Roman"/>
        </w:rPr>
        <w:t>n gifts” do not reduce your $11,18</w:t>
      </w:r>
      <w:r w:rsidRPr="00FB450A">
        <w:rPr>
          <w:rFonts w:ascii="Times New Roman" w:eastAsia="Times New Roman" w:hAnsi="Times New Roman"/>
        </w:rPr>
        <w:t xml:space="preserve">0,000 lifetime gift tax exemption. This annual </w:t>
      </w:r>
      <w:r w:rsidR="009B1FAB">
        <w:rPr>
          <w:rFonts w:ascii="Times New Roman" w:eastAsia="Times New Roman" w:hAnsi="Times New Roman"/>
        </w:rPr>
        <w:t>exclusion gift is doubled to $30</w:t>
      </w:r>
      <w:r w:rsidRPr="00FB450A">
        <w:rPr>
          <w:rFonts w:ascii="Times New Roman" w:eastAsia="Times New Roman" w:hAnsi="Times New Roman"/>
        </w:rPr>
        <w:t xml:space="preserve">,000 per </w:t>
      </w:r>
      <w:proofErr w:type="spellStart"/>
      <w:r w:rsidRPr="00FB450A">
        <w:rPr>
          <w:rFonts w:ascii="Times New Roman" w:eastAsia="Times New Roman" w:hAnsi="Times New Roman"/>
        </w:rPr>
        <w:t>donee</w:t>
      </w:r>
      <w:proofErr w:type="spellEnd"/>
      <w:r w:rsidRPr="00FB450A">
        <w:rPr>
          <w:rFonts w:ascii="Times New Roman" w:eastAsia="Times New Roman" w:hAnsi="Times New Roman"/>
        </w:rPr>
        <w:t xml:space="preserve"> for gifts made by married couples of jointly-held property or when one spouse consents to "gift-splitting" for gifts made by the other spouse.</w:t>
      </w:r>
    </w:p>
    <w:p w:rsidR="004A47BE" w:rsidRPr="0060389A" w:rsidRDefault="004A47BE" w:rsidP="00456334">
      <w:pPr>
        <w:spacing w:line="240" w:lineRule="auto"/>
        <w:jc w:val="both"/>
        <w:rPr>
          <w:rFonts w:ascii="Times New Roman" w:eastAsia="Times New Roman" w:hAnsi="Times New Roman"/>
        </w:rPr>
      </w:pPr>
      <w:r w:rsidRPr="00A7423C">
        <w:rPr>
          <w:rFonts w:ascii="Times New Roman" w:hAnsi="Times New Roman"/>
          <w:b/>
          <w:bCs/>
          <w:color w:val="2F5496" w:themeColor="accent5" w:themeShade="BF"/>
          <w:sz w:val="24"/>
          <w:szCs w:val="24"/>
          <w:u w:val="single"/>
        </w:rPr>
        <w:t>Help someone with medical or education expenses.</w:t>
      </w:r>
      <w:r w:rsidRPr="0060389A">
        <w:rPr>
          <w:rFonts w:ascii="Times New Roman" w:hAnsi="Times New Roman"/>
        </w:rPr>
        <w:t xml:space="preserve"> </w:t>
      </w:r>
      <w:r w:rsidRPr="0060389A">
        <w:rPr>
          <w:rFonts w:ascii="Times New Roman" w:eastAsia="Times New Roman" w:hAnsi="Times New Roman"/>
        </w:rPr>
        <w:t>There are opportunities to give unlimited tax-free gifts when you pay the provider of the services directly. The medical expenses must meet the definition of deductible medical expenses. Qualified education expenses are tuition, books, fees, and related expenses</w:t>
      </w:r>
      <w:r w:rsidR="00FB450A">
        <w:rPr>
          <w:rFonts w:ascii="Times New Roman" w:eastAsia="Times New Roman" w:hAnsi="Times New Roman"/>
        </w:rPr>
        <w:t>,</w:t>
      </w:r>
      <w:r w:rsidRPr="0060389A">
        <w:rPr>
          <w:rFonts w:ascii="Times New Roman" w:eastAsia="Times New Roman" w:hAnsi="Times New Roman"/>
        </w:rPr>
        <w:t xml:space="preserve"> but not room and board. You can find the detail</w:t>
      </w:r>
      <w:r w:rsidR="00264F5E">
        <w:rPr>
          <w:rFonts w:ascii="Times New Roman" w:eastAsia="Times New Roman" w:hAnsi="Times New Roman"/>
        </w:rPr>
        <w:t>ed</w:t>
      </w:r>
      <w:r w:rsidRPr="0060389A">
        <w:rPr>
          <w:rFonts w:ascii="Times New Roman" w:eastAsia="Times New Roman" w:hAnsi="Times New Roman"/>
        </w:rPr>
        <w:t xml:space="preserve"> qualifications in IRS Publications 950 and the</w:t>
      </w:r>
      <w:r w:rsidR="00264F5E">
        <w:rPr>
          <w:rFonts w:ascii="Times New Roman" w:eastAsia="Times New Roman" w:hAnsi="Times New Roman"/>
        </w:rPr>
        <w:t xml:space="preserve"> instructions for IRS Form 709 </w:t>
      </w:r>
      <w:r w:rsidRPr="0060389A">
        <w:rPr>
          <w:rFonts w:ascii="Times New Roman" w:eastAsia="Times New Roman" w:hAnsi="Times New Roman"/>
        </w:rPr>
        <w:t xml:space="preserve">at </w:t>
      </w:r>
      <w:hyperlink r:id="rId11" w:history="1">
        <w:r w:rsidRPr="0060389A">
          <w:rPr>
            <w:rFonts w:ascii="Times New Roman" w:eastAsia="Times New Roman" w:hAnsi="Times New Roman"/>
          </w:rPr>
          <w:t>www.irs.gov</w:t>
        </w:r>
      </w:hyperlink>
      <w:r w:rsidRPr="0060389A">
        <w:rPr>
          <w:rFonts w:ascii="Times New Roman" w:eastAsia="Times New Roman" w:hAnsi="Times New Roman"/>
        </w:rPr>
        <w:t xml:space="preserve">. </w:t>
      </w:r>
    </w:p>
    <w:p w:rsidR="00DE4D0E" w:rsidRPr="009B1FAB" w:rsidRDefault="00DE4D0E" w:rsidP="00456334">
      <w:pPr>
        <w:spacing w:line="240" w:lineRule="auto"/>
        <w:jc w:val="both"/>
        <w:rPr>
          <w:rFonts w:ascii="Times New Roman" w:hAnsi="Times New Roman"/>
          <w:b/>
        </w:rPr>
      </w:pPr>
      <w:r w:rsidRPr="00DE4D0E">
        <w:rPr>
          <w:rFonts w:ascii="Times New Roman" w:hAnsi="Times New Roman"/>
          <w:b/>
          <w:bCs/>
          <w:color w:val="2F5496" w:themeColor="accent5" w:themeShade="BF"/>
          <w:sz w:val="24"/>
          <w:szCs w:val="24"/>
          <w:u w:val="single"/>
        </w:rPr>
        <w:t>Contribut</w:t>
      </w:r>
      <w:r w:rsidR="00264F5E">
        <w:rPr>
          <w:rFonts w:ascii="Times New Roman" w:hAnsi="Times New Roman"/>
          <w:b/>
          <w:bCs/>
          <w:color w:val="2F5496" w:themeColor="accent5" w:themeShade="BF"/>
          <w:sz w:val="24"/>
          <w:szCs w:val="24"/>
          <w:u w:val="single"/>
        </w:rPr>
        <w:t>e to a Qualified Tuition Plan (529 Plan</w:t>
      </w:r>
      <w:r w:rsidRPr="00DE4D0E">
        <w:rPr>
          <w:rFonts w:ascii="Times New Roman" w:hAnsi="Times New Roman"/>
          <w:b/>
          <w:bCs/>
          <w:color w:val="2F5496" w:themeColor="accent5" w:themeShade="BF"/>
          <w:sz w:val="24"/>
          <w:szCs w:val="24"/>
          <w:u w:val="single"/>
        </w:rPr>
        <w:t>) on behalf of a beneficiary.</w:t>
      </w:r>
      <w:r w:rsidRPr="00DE4D0E">
        <w:rPr>
          <w:rFonts w:ascii="Times New Roman" w:hAnsi="Times New Roman"/>
          <w:b/>
          <w:color w:val="2F5496" w:themeColor="accent5" w:themeShade="BF"/>
        </w:rPr>
        <w:t xml:space="preserve"> </w:t>
      </w:r>
      <w:r w:rsidRPr="00DE4D0E">
        <w:rPr>
          <w:rFonts w:ascii="Times New Roman" w:hAnsi="Times New Roman"/>
        </w:rPr>
        <w:t>The effective annual contribu</w:t>
      </w:r>
      <w:r w:rsidR="009B1FAB">
        <w:rPr>
          <w:rFonts w:ascii="Times New Roman" w:hAnsi="Times New Roman"/>
        </w:rPr>
        <w:t>tion limit to 529 Plans for 2018</w:t>
      </w:r>
      <w:r w:rsidRPr="00DE4D0E">
        <w:rPr>
          <w:rFonts w:ascii="Times New Roman" w:hAnsi="Times New Roman"/>
        </w:rPr>
        <w:t xml:space="preserve"> is $1</w:t>
      </w:r>
      <w:r w:rsidR="00DF42DD">
        <w:rPr>
          <w:rFonts w:ascii="Times New Roman" w:hAnsi="Times New Roman"/>
        </w:rPr>
        <w:t>5</w:t>
      </w:r>
      <w:r w:rsidRPr="00DE4D0E">
        <w:rPr>
          <w:rFonts w:ascii="Times New Roman" w:hAnsi="Times New Roman"/>
        </w:rPr>
        <w:t xml:space="preserve">,000. </w:t>
      </w:r>
      <w:r w:rsidRPr="00DE4D0E">
        <w:rPr>
          <w:rFonts w:ascii="Times New Roman" w:hAnsi="Times New Roman"/>
          <w:b/>
          <w:color w:val="2F5496" w:themeColor="accent5" w:themeShade="BF"/>
        </w:rPr>
        <w:t xml:space="preserve"> </w:t>
      </w:r>
      <w:r w:rsidRPr="00DE4D0E">
        <w:rPr>
          <w:rFonts w:ascii="Times New Roman" w:hAnsi="Times New Roman"/>
        </w:rPr>
        <w:t>Transfers to 529 Plans count as annual exclusion gifts. Withdrawals (including earnings) used for qualified education expenses (tuition, fees, books and other r</w:t>
      </w:r>
      <w:r w:rsidR="00264F5E">
        <w:rPr>
          <w:rFonts w:ascii="Times New Roman" w:hAnsi="Times New Roman"/>
        </w:rPr>
        <w:t xml:space="preserve">elated expenses) are income tax </w:t>
      </w:r>
      <w:r w:rsidRPr="00DE4D0E">
        <w:rPr>
          <w:rFonts w:ascii="Times New Roman" w:hAnsi="Times New Roman"/>
        </w:rPr>
        <w:t>free. The tax law even allows you to give the equivalent of five years’ worth of contributions up front ($1</w:t>
      </w:r>
      <w:r w:rsidR="00DF42DD">
        <w:rPr>
          <w:rFonts w:ascii="Times New Roman" w:hAnsi="Times New Roman"/>
        </w:rPr>
        <w:t>5</w:t>
      </w:r>
      <w:r w:rsidRPr="00DE4D0E">
        <w:rPr>
          <w:rFonts w:ascii="Times New Roman" w:hAnsi="Times New Roman"/>
        </w:rPr>
        <w:t>,000 x 5 = $7</w:t>
      </w:r>
      <w:r w:rsidR="00DF42DD">
        <w:rPr>
          <w:rFonts w:ascii="Times New Roman" w:hAnsi="Times New Roman"/>
        </w:rPr>
        <w:t>5</w:t>
      </w:r>
      <w:r w:rsidRPr="00DE4D0E">
        <w:rPr>
          <w:rFonts w:ascii="Times New Roman" w:hAnsi="Times New Roman"/>
        </w:rPr>
        <w:t xml:space="preserve">,000) with no gift tax consequences. Earnings on non-qualifying distributions are subject to income tax and a 10% penalty. Overall contribution limits vary by state. Many states also provide contribution incentives such as tax deductions, tax credits or matching grants. </w:t>
      </w:r>
      <w:r w:rsidRPr="009B1FAB">
        <w:rPr>
          <w:rFonts w:ascii="Times New Roman" w:hAnsi="Times New Roman"/>
          <w:b/>
        </w:rPr>
        <w:t>If you’d like to learn more about what your state’s parameters are for 529 plans, please call us and we can assist you.</w:t>
      </w:r>
    </w:p>
    <w:p w:rsidR="008D41DB" w:rsidRDefault="00DE4D0E" w:rsidP="00456334">
      <w:pPr>
        <w:spacing w:line="240" w:lineRule="auto"/>
        <w:jc w:val="both"/>
        <w:rPr>
          <w:rFonts w:ascii="Times New Roman" w:hAnsi="Times New Roman"/>
        </w:rPr>
      </w:pPr>
      <w:r w:rsidRPr="00A7423C">
        <w:rPr>
          <w:rFonts w:ascii="Times New Roman" w:hAnsi="Times New Roman"/>
          <w:b/>
          <w:bCs/>
          <w:color w:val="2F5496" w:themeColor="accent5" w:themeShade="BF"/>
          <w:sz w:val="24"/>
          <w:szCs w:val="24"/>
          <w:u w:val="single"/>
        </w:rPr>
        <w:t>Make gifts to trusts.</w:t>
      </w:r>
      <w:r w:rsidRPr="00E37AD1">
        <w:rPr>
          <w:rFonts w:ascii="Times New Roman" w:hAnsi="Times New Roman"/>
          <w:b/>
          <w:color w:val="2F5496" w:themeColor="accent5" w:themeShade="BF"/>
        </w:rPr>
        <w:t xml:space="preserve"> </w:t>
      </w:r>
      <w:r w:rsidRPr="00BD1760">
        <w:rPr>
          <w:rFonts w:ascii="Times New Roman" w:hAnsi="Times New Roman"/>
        </w:rPr>
        <w:t xml:space="preserve">These gifts often qualify </w:t>
      </w:r>
      <w:r w:rsidRPr="00DE4D0E">
        <w:rPr>
          <w:rFonts w:ascii="Times New Roman" w:hAnsi="Times New Roman"/>
        </w:rPr>
        <w:t>as annual exclusion gifts</w:t>
      </w:r>
      <w:r w:rsidR="009B1FAB">
        <w:rPr>
          <w:rFonts w:ascii="Times New Roman" w:hAnsi="Times New Roman"/>
        </w:rPr>
        <w:t xml:space="preserve"> ($15</w:t>
      </w:r>
      <w:r w:rsidRPr="00BD1760">
        <w:rPr>
          <w:rFonts w:ascii="Times New Roman" w:hAnsi="Times New Roman"/>
        </w:rPr>
        <w:t xml:space="preserve">,000 </w:t>
      </w:r>
      <w:r w:rsidR="009B1FAB">
        <w:rPr>
          <w:rFonts w:ascii="Times New Roman" w:hAnsi="Times New Roman"/>
        </w:rPr>
        <w:t>in 2018</w:t>
      </w:r>
      <w:r w:rsidRPr="00BD1760">
        <w:rPr>
          <w:rFonts w:ascii="Times New Roman" w:hAnsi="Times New Roman"/>
        </w:rPr>
        <w:t>) if the gift is direct and immediate. A gift that meets all the requirements removes the property from your estate. The annual exclusion gift can be contributed for each beneficiary of a trust. We are happy to review the details with your estate planning attorney.</w:t>
      </w:r>
    </w:p>
    <w:p w:rsidR="0073345E" w:rsidRDefault="0073345E" w:rsidP="00456334">
      <w:pPr>
        <w:spacing w:line="240" w:lineRule="auto"/>
        <w:jc w:val="both"/>
        <w:rPr>
          <w:rFonts w:ascii="Times New Roman" w:hAnsi="Times New Roman"/>
          <w:b/>
          <w:color w:val="000000"/>
          <w:sz w:val="24"/>
          <w:szCs w:val="24"/>
        </w:rPr>
      </w:pPr>
      <w:r>
        <w:rPr>
          <w:rFonts w:ascii="Times New Roman" w:hAnsi="Times New Roman"/>
          <w:b/>
          <w:bCs/>
          <w:color w:val="2F5496" w:themeColor="accent5" w:themeShade="BF"/>
          <w:sz w:val="24"/>
          <w:szCs w:val="24"/>
          <w:u w:val="single"/>
        </w:rPr>
        <w:t>RMDs for those over 70 ½</w:t>
      </w:r>
      <w:r w:rsidR="005D3A7B">
        <w:rPr>
          <w:rFonts w:ascii="Times New Roman" w:hAnsi="Times New Roman"/>
          <w:b/>
          <w:bCs/>
          <w:color w:val="2F5496" w:themeColor="accent5" w:themeShade="BF"/>
          <w:sz w:val="24"/>
          <w:szCs w:val="24"/>
          <w:u w:val="single"/>
        </w:rPr>
        <w:t>.</w:t>
      </w:r>
      <w:r w:rsidR="005D3A7B" w:rsidRPr="005D3A7B">
        <w:rPr>
          <w:rFonts w:ascii="Times New Roman" w:hAnsi="Times New Roman"/>
          <w:b/>
          <w:bCs/>
          <w:color w:val="2F5496" w:themeColor="accent5" w:themeShade="BF"/>
          <w:sz w:val="24"/>
          <w:szCs w:val="24"/>
        </w:rPr>
        <w:t xml:space="preserve"> </w:t>
      </w:r>
      <w:r>
        <w:rPr>
          <w:rFonts w:ascii="Times New Roman" w:hAnsi="Times New Roman"/>
        </w:rPr>
        <w:t>One thing to watch closely by year-end is the RMD requirement</w:t>
      </w:r>
      <w:r w:rsidRPr="00097B47">
        <w:rPr>
          <w:rFonts w:ascii="Times New Roman" w:hAnsi="Times New Roman"/>
        </w:rPr>
        <w:t>. Most retirement arrangements</w:t>
      </w:r>
      <w:r>
        <w:rPr>
          <w:rFonts w:ascii="Times New Roman" w:hAnsi="Times New Roman"/>
        </w:rPr>
        <w:t xml:space="preserve"> (other than Roth IRAs) require</w:t>
      </w:r>
      <w:r w:rsidRPr="00097B47">
        <w:rPr>
          <w:rFonts w:ascii="Times New Roman" w:hAnsi="Times New Roman"/>
        </w:rPr>
        <w:t xml:space="preserve"> that participants begin to take annual payments of benefi</w:t>
      </w:r>
      <w:r>
        <w:rPr>
          <w:rFonts w:ascii="Times New Roman" w:hAnsi="Times New Roman"/>
        </w:rPr>
        <w:t>ts in the year they turn age 70</w:t>
      </w:r>
      <w:r w:rsidRPr="00097B47">
        <w:rPr>
          <w:rFonts w:ascii="Times New Roman" w:hAnsi="Times New Roman"/>
        </w:rPr>
        <w:t>½. While distributions generally must be made at the end of the calendar year, distributions for the first year can be delayed until April 1 of the succeeding year.</w:t>
      </w:r>
      <w:r>
        <w:rPr>
          <w:rFonts w:ascii="Times New Roman" w:hAnsi="Times New Roman"/>
        </w:rPr>
        <w:t xml:space="preserve"> </w:t>
      </w:r>
      <w:r w:rsidRPr="00600190">
        <w:rPr>
          <w:rFonts w:ascii="Times New Roman" w:hAnsi="Times New Roman"/>
          <w:b/>
          <w:color w:val="000000"/>
          <w:sz w:val="24"/>
          <w:szCs w:val="24"/>
        </w:rPr>
        <w:t xml:space="preserve">If you </w:t>
      </w:r>
      <w:r>
        <w:rPr>
          <w:rFonts w:ascii="Times New Roman" w:hAnsi="Times New Roman"/>
          <w:b/>
          <w:color w:val="000000"/>
          <w:sz w:val="24"/>
          <w:szCs w:val="24"/>
        </w:rPr>
        <w:t>have questions about your RMD</w:t>
      </w:r>
      <w:r w:rsidRPr="00600190">
        <w:rPr>
          <w:rFonts w:ascii="Times New Roman" w:hAnsi="Times New Roman"/>
          <w:b/>
          <w:color w:val="000000"/>
          <w:sz w:val="24"/>
          <w:szCs w:val="24"/>
        </w:rPr>
        <w:t>, please call us.</w:t>
      </w:r>
    </w:p>
    <w:p w:rsidR="0073345E" w:rsidRDefault="0073345E" w:rsidP="00456334">
      <w:pPr>
        <w:spacing w:line="240" w:lineRule="auto"/>
        <w:jc w:val="both"/>
        <w:rPr>
          <w:rFonts w:ascii="Times New Roman" w:hAnsi="Times New Roman"/>
        </w:rPr>
      </w:pPr>
    </w:p>
    <w:p w:rsidR="003C5267" w:rsidRPr="00D77039" w:rsidRDefault="008D41DB" w:rsidP="00D77039">
      <w:pPr>
        <w:shd w:val="clear" w:color="auto" w:fill="FFFFFF"/>
        <w:spacing w:after="0"/>
        <w:jc w:val="both"/>
        <w:rPr>
          <w:rFonts w:ascii="Times New Roman" w:hAnsi="Times New Roman"/>
          <w:b/>
          <w:i/>
          <w:sz w:val="40"/>
          <w:szCs w:val="40"/>
          <w:shd w:val="clear" w:color="auto" w:fill="9CC2E5" w:themeFill="accent1" w:themeFillTint="99"/>
        </w:rPr>
      </w:pPr>
      <w:r w:rsidRPr="00D77039">
        <w:rPr>
          <w:rFonts w:ascii="Times New Roman" w:hAnsi="Times New Roman"/>
          <w:b/>
          <w:i/>
          <w:sz w:val="40"/>
          <w:szCs w:val="40"/>
          <w:shd w:val="clear" w:color="auto" w:fill="9CC2E5" w:themeFill="accent1" w:themeFillTint="99"/>
        </w:rPr>
        <w:lastRenderedPageBreak/>
        <w:t>Estate, Gift, and Generation-Skipping Tax Changes</w:t>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r w:rsidR="002028E7">
        <w:rPr>
          <w:rFonts w:ascii="Times New Roman" w:hAnsi="Times New Roman"/>
          <w:b/>
          <w:i/>
          <w:sz w:val="40"/>
          <w:szCs w:val="40"/>
          <w:shd w:val="clear" w:color="auto" w:fill="9CC2E5" w:themeFill="accent1" w:themeFillTint="99"/>
        </w:rPr>
        <w:tab/>
      </w:r>
    </w:p>
    <w:p w:rsidR="003C5267" w:rsidRPr="005F004D" w:rsidRDefault="00D733A6" w:rsidP="00456334">
      <w:pPr>
        <w:shd w:val="clear" w:color="auto" w:fill="FFFFFF"/>
        <w:spacing w:after="0" w:line="240" w:lineRule="auto"/>
        <w:jc w:val="both"/>
        <w:rPr>
          <w:rFonts w:ascii="Times New Roman" w:eastAsia="Times New Roman" w:hAnsi="Times New Roman"/>
          <w:szCs w:val="24"/>
        </w:rPr>
      </w:pPr>
      <w:r>
        <w:rPr>
          <w:rFonts w:ascii="Times New Roman" w:eastAsia="Times New Roman" w:hAnsi="Times New Roman"/>
          <w:szCs w:val="24"/>
        </w:rPr>
        <w:t>E</w:t>
      </w:r>
      <w:r w:rsidR="003C5267" w:rsidRPr="005F004D">
        <w:rPr>
          <w:rFonts w:ascii="Times New Roman" w:eastAsia="Times New Roman" w:hAnsi="Times New Roman"/>
          <w:szCs w:val="24"/>
        </w:rPr>
        <w:t xml:space="preserve">xemption amounts for gift, estate, and generation-skipping taxes </w:t>
      </w:r>
      <w:r w:rsidR="00DF42DD">
        <w:rPr>
          <w:rFonts w:ascii="Times New Roman" w:eastAsia="Times New Roman" w:hAnsi="Times New Roman"/>
          <w:szCs w:val="24"/>
        </w:rPr>
        <w:t>have almost</w:t>
      </w:r>
      <w:r w:rsidR="003C5267" w:rsidRPr="005F004D">
        <w:rPr>
          <w:rFonts w:ascii="Times New Roman" w:eastAsia="Times New Roman" w:hAnsi="Times New Roman"/>
          <w:szCs w:val="24"/>
        </w:rPr>
        <w:t xml:space="preserve"> doubled from $5.6 million to $11.</w:t>
      </w:r>
      <w:r w:rsidR="00DF42DD">
        <w:rPr>
          <w:rFonts w:ascii="Times New Roman" w:eastAsia="Times New Roman" w:hAnsi="Times New Roman"/>
          <w:szCs w:val="24"/>
        </w:rPr>
        <w:t>18</w:t>
      </w:r>
      <w:r w:rsidR="003C5267" w:rsidRPr="005F004D">
        <w:rPr>
          <w:rFonts w:ascii="Times New Roman" w:eastAsia="Times New Roman" w:hAnsi="Times New Roman"/>
          <w:szCs w:val="24"/>
        </w:rPr>
        <w:t xml:space="preserve"> million ($22.</w:t>
      </w:r>
      <w:r w:rsidR="00DF42DD">
        <w:rPr>
          <w:rFonts w:ascii="Times New Roman" w:eastAsia="Times New Roman" w:hAnsi="Times New Roman"/>
          <w:szCs w:val="24"/>
        </w:rPr>
        <w:t>36</w:t>
      </w:r>
      <w:r w:rsidR="003C5267" w:rsidRPr="005F004D">
        <w:rPr>
          <w:rFonts w:ascii="Times New Roman" w:eastAsia="Times New Roman" w:hAnsi="Times New Roman"/>
          <w:szCs w:val="24"/>
        </w:rPr>
        <w:t xml:space="preserve"> million for couples), and the income tax basis step up/down to fair market value at death continues under the act. These changes provide high net worth individuals a significant planning window to make gifts and set up irrevocable trusts.</w:t>
      </w:r>
    </w:p>
    <w:p w:rsidR="003C5267" w:rsidRDefault="003C5267" w:rsidP="00456334">
      <w:pPr>
        <w:shd w:val="clear" w:color="auto" w:fill="FFFFFF"/>
        <w:spacing w:after="0" w:line="240" w:lineRule="auto"/>
        <w:jc w:val="both"/>
        <w:rPr>
          <w:rFonts w:ascii="Times New Roman" w:eastAsia="Times New Roman" w:hAnsi="Times New Roman"/>
          <w:b/>
          <w:szCs w:val="24"/>
        </w:rPr>
      </w:pPr>
    </w:p>
    <w:p w:rsidR="003C5267" w:rsidRDefault="003C5267" w:rsidP="00456334">
      <w:pPr>
        <w:shd w:val="clear" w:color="auto" w:fill="FFFFFF"/>
        <w:spacing w:after="0" w:line="240" w:lineRule="auto"/>
        <w:jc w:val="both"/>
        <w:rPr>
          <w:rFonts w:ascii="Times New Roman" w:eastAsia="Times New Roman" w:hAnsi="Times New Roman"/>
          <w:szCs w:val="24"/>
        </w:rPr>
      </w:pPr>
      <w:r w:rsidRPr="009B1FAB">
        <w:rPr>
          <w:rFonts w:ascii="Times New Roman" w:eastAsia="Times New Roman" w:hAnsi="Times New Roman"/>
          <w:b/>
          <w:szCs w:val="24"/>
        </w:rPr>
        <w:t>Remember,</w:t>
      </w:r>
      <w:r>
        <w:rPr>
          <w:rFonts w:ascii="Times New Roman" w:eastAsia="Times New Roman" w:hAnsi="Times New Roman"/>
          <w:szCs w:val="24"/>
        </w:rPr>
        <w:t xml:space="preserve"> as of now,</w:t>
      </w:r>
      <w:r w:rsidRPr="005F004D">
        <w:rPr>
          <w:rFonts w:ascii="Times New Roman" w:eastAsia="Times New Roman" w:hAnsi="Times New Roman"/>
          <w:szCs w:val="24"/>
        </w:rPr>
        <w:t xml:space="preserve"> the exemption amounts will revert in 2026 to 2017 levels (although the exemption amount has never decreased before), claiming the portable exemption will remain an important discussion topic for decedents with more than $3 million in assets.</w:t>
      </w:r>
    </w:p>
    <w:p w:rsidR="008D41DB" w:rsidRPr="008D41DB" w:rsidRDefault="008D41DB" w:rsidP="00456334">
      <w:pPr>
        <w:shd w:val="clear" w:color="auto" w:fill="FFFFFF"/>
        <w:spacing w:after="0" w:line="240" w:lineRule="auto"/>
        <w:jc w:val="both"/>
        <w:rPr>
          <w:rFonts w:ascii="Times New Roman" w:eastAsia="Times New Roman" w:hAnsi="Times New Roman"/>
          <w:szCs w:val="24"/>
        </w:rPr>
      </w:pPr>
    </w:p>
    <w:p w:rsidR="001F72DE" w:rsidRDefault="001F72DE" w:rsidP="00D77039">
      <w:pPr>
        <w:shd w:val="clear" w:color="auto" w:fill="FFFFFF"/>
        <w:spacing w:after="0"/>
        <w:jc w:val="both"/>
        <w:rPr>
          <w:rFonts w:ascii="Times New Roman" w:hAnsi="Times New Roman"/>
        </w:rPr>
      </w:pPr>
      <w:r w:rsidRPr="00D77039">
        <w:rPr>
          <w:rFonts w:ascii="Times New Roman" w:hAnsi="Times New Roman"/>
          <w:b/>
          <w:i/>
          <w:sz w:val="40"/>
          <w:szCs w:val="40"/>
          <w:shd w:val="clear" w:color="auto" w:fill="9CC2E5" w:themeFill="accent1" w:themeFillTint="99"/>
        </w:rPr>
        <w:t>Conclusion</w:t>
      </w:r>
      <w:r w:rsidRPr="00D77039">
        <w:rPr>
          <w:rFonts w:ascii="Times New Roman" w:hAnsi="Times New Roman"/>
          <w:b/>
          <w:i/>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r>
        <w:rPr>
          <w:rFonts w:ascii="Times New Roman" w:hAnsi="Times New Roman"/>
          <w:b/>
          <w:i/>
          <w:color w:val="1F4E79" w:themeColor="accent1" w:themeShade="80"/>
          <w:sz w:val="40"/>
          <w:szCs w:val="40"/>
          <w:shd w:val="clear" w:color="auto" w:fill="9CC2E5" w:themeFill="accent1" w:themeFillTint="99"/>
        </w:rPr>
        <w:tab/>
      </w:r>
    </w:p>
    <w:p w:rsidR="004A47BE" w:rsidRPr="0077021E" w:rsidRDefault="004A47BE" w:rsidP="00456334">
      <w:pPr>
        <w:spacing w:after="0" w:line="240" w:lineRule="auto"/>
        <w:jc w:val="both"/>
        <w:rPr>
          <w:rFonts w:ascii="Times New Roman" w:eastAsia="Times New Roman" w:hAnsi="Times New Roman"/>
          <w:b/>
          <w:sz w:val="14"/>
          <w:szCs w:val="14"/>
        </w:rPr>
      </w:pPr>
      <w:r w:rsidRPr="005B70E8">
        <w:rPr>
          <w:rFonts w:ascii="Times New Roman" w:eastAsia="Times New Roman" w:hAnsi="Times New Roman"/>
          <w:b/>
        </w:rPr>
        <w:t>One of our primary goals is to keep clients aware of tax law changes and updates. This report is not a substitute for using a tax professional.</w:t>
      </w:r>
      <w:r w:rsidRPr="0040576C">
        <w:rPr>
          <w:rFonts w:ascii="Times New Roman" w:eastAsia="Times New Roman" w:hAnsi="Times New Roman"/>
          <w:b/>
          <w:color w:val="1F4E79" w:themeColor="accent1" w:themeShade="80"/>
          <w:sz w:val="24"/>
          <w:szCs w:val="24"/>
        </w:rPr>
        <w:t xml:space="preserve"> </w:t>
      </w:r>
      <w:r w:rsidRPr="00D97A0A">
        <w:rPr>
          <w:rFonts w:ascii="Times New Roman" w:eastAsia="Times New Roman" w:hAnsi="Times New Roman"/>
          <w:b/>
        </w:rPr>
        <w:t>Please note that many states do not follow the same rules and computations as the federal income tax rules.</w:t>
      </w:r>
      <w:r w:rsidRPr="000D625B">
        <w:rPr>
          <w:rFonts w:ascii="Times New Roman" w:eastAsia="Times New Roman" w:hAnsi="Times New Roman"/>
        </w:rPr>
        <w:t xml:space="preserve"> Make sure you check with your tax preparer to see what tax rates and rules apply for your particular state.</w:t>
      </w:r>
    </w:p>
    <w:p w:rsidR="0073345E" w:rsidRDefault="0073345E" w:rsidP="00FE129D">
      <w:pPr>
        <w:spacing w:after="0" w:line="240" w:lineRule="auto"/>
        <w:jc w:val="both"/>
        <w:rPr>
          <w:rFonts w:asciiTheme="minorHAnsi" w:eastAsiaTheme="minorHAnsi" w:hAnsiTheme="minorHAnsi" w:cs="Arial"/>
          <w:color w:val="000000" w:themeColor="text1"/>
          <w:sz w:val="14"/>
          <w:szCs w:val="14"/>
          <w:lang w:bidi="en-US"/>
        </w:rPr>
      </w:pPr>
    </w:p>
    <w:p w:rsidR="00456334" w:rsidRDefault="003253F2" w:rsidP="00FE129D">
      <w:pPr>
        <w:spacing w:after="0" w:line="240" w:lineRule="auto"/>
        <w:jc w:val="both"/>
        <w:rPr>
          <w:rFonts w:ascii="Times New Roman" w:eastAsia="Times New Roman" w:hAnsi="Times New Roman"/>
        </w:rPr>
      </w:pPr>
      <w:r>
        <w:rPr>
          <w:rFonts w:ascii="Times New Roman" w:eastAsia="Times New Roman" w:hAnsi="Times New Roman"/>
          <w:b/>
          <w:noProof/>
          <w:color w:val="1F4E79" w:themeColor="accent1" w:themeShade="80"/>
          <w:sz w:val="26"/>
          <w:szCs w:val="26"/>
        </w:rPr>
        <mc:AlternateContent>
          <mc:Choice Requires="wps">
            <w:drawing>
              <wp:anchor distT="45720" distB="45720" distL="114300" distR="114300" simplePos="0" relativeHeight="251653119" behindDoc="0" locked="0" layoutInCell="1" allowOverlap="1">
                <wp:simplePos x="0" y="0"/>
                <wp:positionH relativeFrom="column">
                  <wp:posOffset>18415</wp:posOffset>
                </wp:positionH>
                <wp:positionV relativeFrom="paragraph">
                  <wp:posOffset>4231052</wp:posOffset>
                </wp:positionV>
                <wp:extent cx="6838950" cy="7505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50570"/>
                        </a:xfrm>
                        <a:prstGeom prst="rect">
                          <a:avLst/>
                        </a:prstGeom>
                        <a:solidFill>
                          <a:schemeClr val="accent1">
                            <a:lumMod val="60000"/>
                            <a:lumOff val="40000"/>
                          </a:schemeClr>
                        </a:solidFill>
                        <a:ln w="9525">
                          <a:solidFill>
                            <a:srgbClr val="0070C0"/>
                          </a:solidFill>
                          <a:miter lim="800000"/>
                          <a:headEnd/>
                          <a:tailEnd/>
                        </a:ln>
                      </wps:spPr>
                      <wps:txbx>
                        <w:txbxContent>
                          <w:p w:rsidR="0070256C" w:rsidRPr="00420D0E" w:rsidRDefault="0070256C" w:rsidP="00420D0E">
                            <w:pPr>
                              <w:pStyle w:val="Footer"/>
                              <w:ind w:left="90" w:right="90"/>
                              <w:jc w:val="center"/>
                              <w:rPr>
                                <w:rFonts w:asciiTheme="minorHAnsi" w:hAnsiTheme="minorHAnsi"/>
                                <w:color w:val="1F3864" w:themeColor="accent5" w:themeShade="80"/>
                                <w:sz w:val="28"/>
                                <w:szCs w:val="30"/>
                              </w:rPr>
                            </w:pPr>
                            <w:r w:rsidRPr="00420D0E">
                              <w:rPr>
                                <w:rFonts w:asciiTheme="minorHAnsi" w:hAnsiTheme="minorHAnsi"/>
                                <w:b/>
                                <w:i/>
                                <w:color w:val="1F3864" w:themeColor="accent5" w:themeShade="80"/>
                                <w:sz w:val="28"/>
                                <w:szCs w:val="30"/>
                              </w:rPr>
                              <w:t>Please share this report with others!</w:t>
                            </w:r>
                          </w:p>
                          <w:p w:rsidR="0070256C" w:rsidRPr="00420D0E" w:rsidRDefault="0070256C" w:rsidP="00420D0E">
                            <w:pPr>
                              <w:pStyle w:val="Footer"/>
                              <w:tabs>
                                <w:tab w:val="clear" w:pos="9360"/>
                              </w:tabs>
                              <w:ind w:left="90" w:right="124"/>
                              <w:jc w:val="center"/>
                              <w:rPr>
                                <w:rFonts w:asciiTheme="minorHAnsi" w:hAnsiTheme="minorHAnsi"/>
                                <w:color w:val="003399"/>
                                <w:szCs w:val="21"/>
                              </w:rPr>
                            </w:pPr>
                            <w:r w:rsidRPr="00420D0E">
                              <w:rPr>
                                <w:rFonts w:asciiTheme="minorHAnsi" w:hAnsiTheme="minorHAnsi"/>
                                <w:color w:val="0D0D0D"/>
                                <w:sz w:val="6"/>
                              </w:rPr>
                              <w:br/>
                            </w:r>
                            <w:r w:rsidRPr="00420D0E">
                              <w:rPr>
                                <w:rFonts w:asciiTheme="minorHAnsi" w:hAnsiTheme="minorHAnsi"/>
                                <w:color w:val="003399"/>
                                <w:szCs w:val="21"/>
                              </w:rPr>
                              <w:t xml:space="preserve">This year, our goal is to offer services to several other clients just like you! </w:t>
                            </w:r>
                            <w:r w:rsidR="0024227E" w:rsidRPr="00420D0E">
                              <w:rPr>
                                <w:rFonts w:asciiTheme="minorHAnsi" w:hAnsiTheme="minorHAnsi"/>
                                <w:color w:val="003399"/>
                                <w:szCs w:val="21"/>
                              </w:rPr>
                              <w:t>T</w:t>
                            </w:r>
                            <w:r w:rsidRPr="00420D0E">
                              <w:rPr>
                                <w:rFonts w:asciiTheme="minorHAnsi" w:hAnsiTheme="minorHAnsi"/>
                                <w:color w:val="003399"/>
                                <w:szCs w:val="21"/>
                              </w:rPr>
                              <w:t xml:space="preserve">o share this report, please call </w:t>
                            </w:r>
                            <w:r w:rsidR="00420D0E">
                              <w:rPr>
                                <w:rFonts w:asciiTheme="minorHAnsi" w:hAnsiTheme="minorHAnsi"/>
                                <w:color w:val="003399"/>
                                <w:szCs w:val="21"/>
                              </w:rPr>
                              <w:br/>
                            </w:r>
                            <w:r w:rsidRPr="00420D0E">
                              <w:rPr>
                                <w:rFonts w:asciiTheme="minorHAnsi" w:hAnsiTheme="minorHAnsi"/>
                                <w:color w:val="003399"/>
                                <w:szCs w:val="21"/>
                                <w:highlight w:val="yellow"/>
                              </w:rPr>
                              <w:t>Name at Company at (123) 456-7890</w:t>
                            </w:r>
                            <w:r w:rsidRPr="00420D0E">
                              <w:rPr>
                                <w:rFonts w:asciiTheme="minorHAnsi" w:hAnsiTheme="minorHAnsi"/>
                                <w:color w:val="003399"/>
                                <w:szCs w:val="21"/>
                              </w:rPr>
                              <w:t xml:space="preserve"> and we would be happy to assist you!</w:t>
                            </w:r>
                          </w:p>
                          <w:p w:rsidR="0070256C" w:rsidRDefault="0070256C" w:rsidP="0070256C"/>
                          <w:p w:rsidR="00217061" w:rsidRPr="003133D1" w:rsidRDefault="00217061">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45pt;margin-top:333.15pt;width:538.5pt;height:59.1pt;z-index:251653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UlSgIAAIsEAAAOAAAAZHJzL2Uyb0RvYy54bWysVNuO2yAQfa/Uf0C8N3bSXK04q222W1Xa&#10;XqTdfgDGOEYFxgUSO/36DpCkSftW1Q8IZuDMmTkzXt8NWpGDsE6CKel4lFMiDIdaml1Jv708vllS&#10;4jwzNVNgREmPwtG7zetX674rxARaULWwBEGMK/qupK33XZFljrdCMzeCThh0NmA183i0u6y2rEd0&#10;rbJJns+zHmzdWeDCObQ+JCfdRPymEdx/aRonPFElRW4+rjauVVizzZoVO8u6VvITDfYPLDSTBoNe&#10;oB6YZ2Rv5V9QWnILDho/4qAzaBrJRcwBsxnnf2Tz3LJOxFywOK67lMn9P1j++fDVElmXdDJeUGKY&#10;RpFexODJOxjIJNSn71yB1547vOgHNKPOMVfXPQH/7oiBbcvMTtxbC30rWI38xuFldvU04bgAUvWf&#10;oMYwbO8hAg2N1aF4WA6C6KjT8aJNoMLROF++Xa5m6OLoW8zy2SKKl7Hi/Lqzzn8QoEnYlNSi9hGd&#10;HZ6cD2xYcb4SgjlQsn6USsVD6DexVZYcGHYK41wYn7JUe410k32e45d6Bs3YWck8PZsxROzcgBQD&#10;3gRRhvQlXc0ms1S+GwJ2V13C5/ki357Tu4HQ0uO4KKlLugxBT2RC0d+bOjazZ1KlPbJR5qRCKHyS&#10;wA/VkAQ/i1tBfURZLKTpwGnGTQv2JyU9TkZJ3Y89s4IS9dGgtKvxdBpGKR6ms8UED/baU117mOEI&#10;VVJPSdpufRy/UHUD99gCjYzqhF5JTE6UseNjDU/TGUbq+hxv/f6HbH4BAAD//wMAUEsDBBQABgAI&#10;AAAAIQCtPfyf3gAAAAoBAAAPAAAAZHJzL2Rvd25yZXYueG1sTI/BTsMwEETvSPyDtUjcqEMDThri&#10;VBUIcaYFenXjbRIlXqexm4S/xz2V4+yMZt7m69l0bMTBNZYkPC4iYEil1Q1VEr527w8pMOcVadVZ&#10;Qgm/6GBd3N7kKtN2ok8ct75ioYRcpiTU3vcZ566s0Si3sD1S8I52MMoHOVRcD2oK5abjyygS3KiG&#10;wkKtenytsWy3ZyOhbfzPiXZJfGrT/bQRbx/ffoylvL+bNy/APM7+GoYLfkCHIjAd7Jm0Y52E5SoE&#10;JQghYmAXP0pW4XSQkKRPz8CLnP9/ofgDAAD//wMAUEsBAi0AFAAGAAgAAAAhALaDOJL+AAAA4QEA&#10;ABMAAAAAAAAAAAAAAAAAAAAAAFtDb250ZW50X1R5cGVzXS54bWxQSwECLQAUAAYACAAAACEAOP0h&#10;/9YAAACUAQAACwAAAAAAAAAAAAAAAAAvAQAAX3JlbHMvLnJlbHNQSwECLQAUAAYACAAAACEA99yV&#10;JUoCAACLBAAADgAAAAAAAAAAAAAAAAAuAgAAZHJzL2Uyb0RvYy54bWxQSwECLQAUAAYACAAAACEA&#10;rT38n94AAAAKAQAADwAAAAAAAAAAAAAAAACkBAAAZHJzL2Rvd25yZXYueG1sUEsFBgAAAAAEAAQA&#10;8wAAAK8FAAAAAA==&#10;" fillcolor="#9cc2e5 [1940]" strokecolor="#0070c0">
                <v:textbox>
                  <w:txbxContent>
                    <w:p w:rsidR="0070256C" w:rsidRPr="00420D0E" w:rsidRDefault="0070256C" w:rsidP="00420D0E">
                      <w:pPr>
                        <w:pStyle w:val="Footer"/>
                        <w:ind w:left="90" w:right="90"/>
                        <w:jc w:val="center"/>
                        <w:rPr>
                          <w:rFonts w:asciiTheme="minorHAnsi" w:hAnsiTheme="minorHAnsi"/>
                          <w:color w:val="1F3864" w:themeColor="accent5" w:themeShade="80"/>
                          <w:sz w:val="28"/>
                          <w:szCs w:val="30"/>
                        </w:rPr>
                      </w:pPr>
                      <w:r w:rsidRPr="00420D0E">
                        <w:rPr>
                          <w:rFonts w:asciiTheme="minorHAnsi" w:hAnsiTheme="minorHAnsi"/>
                          <w:b/>
                          <w:i/>
                          <w:color w:val="1F3864" w:themeColor="accent5" w:themeShade="80"/>
                          <w:sz w:val="28"/>
                          <w:szCs w:val="30"/>
                        </w:rPr>
                        <w:t>Please share this report with others!</w:t>
                      </w:r>
                    </w:p>
                    <w:p w:rsidR="0070256C" w:rsidRPr="00420D0E" w:rsidRDefault="0070256C" w:rsidP="00420D0E">
                      <w:pPr>
                        <w:pStyle w:val="Footer"/>
                        <w:tabs>
                          <w:tab w:val="clear" w:pos="9360"/>
                        </w:tabs>
                        <w:ind w:left="90" w:right="124"/>
                        <w:jc w:val="center"/>
                        <w:rPr>
                          <w:rFonts w:asciiTheme="minorHAnsi" w:hAnsiTheme="minorHAnsi"/>
                          <w:color w:val="003399"/>
                          <w:szCs w:val="21"/>
                        </w:rPr>
                      </w:pPr>
                      <w:r w:rsidRPr="00420D0E">
                        <w:rPr>
                          <w:rFonts w:asciiTheme="minorHAnsi" w:hAnsiTheme="minorHAnsi"/>
                          <w:color w:val="0D0D0D"/>
                          <w:sz w:val="6"/>
                        </w:rPr>
                        <w:br/>
                      </w:r>
                      <w:r w:rsidRPr="00420D0E">
                        <w:rPr>
                          <w:rFonts w:asciiTheme="minorHAnsi" w:hAnsiTheme="minorHAnsi"/>
                          <w:color w:val="003399"/>
                          <w:szCs w:val="21"/>
                        </w:rPr>
                        <w:t xml:space="preserve">This year, our goal is to offer services to several other clients just like you! </w:t>
                      </w:r>
                      <w:r w:rsidR="0024227E" w:rsidRPr="00420D0E">
                        <w:rPr>
                          <w:rFonts w:asciiTheme="minorHAnsi" w:hAnsiTheme="minorHAnsi"/>
                          <w:color w:val="003399"/>
                          <w:szCs w:val="21"/>
                        </w:rPr>
                        <w:t>T</w:t>
                      </w:r>
                      <w:r w:rsidRPr="00420D0E">
                        <w:rPr>
                          <w:rFonts w:asciiTheme="minorHAnsi" w:hAnsiTheme="minorHAnsi"/>
                          <w:color w:val="003399"/>
                          <w:szCs w:val="21"/>
                        </w:rPr>
                        <w:t xml:space="preserve">o share this report, please call </w:t>
                      </w:r>
                      <w:r w:rsidR="00420D0E">
                        <w:rPr>
                          <w:rFonts w:asciiTheme="minorHAnsi" w:hAnsiTheme="minorHAnsi"/>
                          <w:color w:val="003399"/>
                          <w:szCs w:val="21"/>
                        </w:rPr>
                        <w:br/>
                      </w:r>
                      <w:r w:rsidRPr="00420D0E">
                        <w:rPr>
                          <w:rFonts w:asciiTheme="minorHAnsi" w:hAnsiTheme="minorHAnsi"/>
                          <w:color w:val="003399"/>
                          <w:szCs w:val="21"/>
                          <w:highlight w:val="yellow"/>
                        </w:rPr>
                        <w:t>Name at Company at (123) 456-7890</w:t>
                      </w:r>
                      <w:r w:rsidRPr="00420D0E">
                        <w:rPr>
                          <w:rFonts w:asciiTheme="minorHAnsi" w:hAnsiTheme="minorHAnsi"/>
                          <w:color w:val="003399"/>
                          <w:szCs w:val="21"/>
                        </w:rPr>
                        <w:t xml:space="preserve"> and we would be happy to assist you!</w:t>
                      </w:r>
                    </w:p>
                    <w:p w:rsidR="0070256C" w:rsidRDefault="0070256C" w:rsidP="0070256C"/>
                    <w:p w:rsidR="00217061" w:rsidRPr="003133D1" w:rsidRDefault="00217061">
                      <w:pPr>
                        <w:rPr>
                          <w:sz w:val="18"/>
                        </w:rPr>
                      </w:pPr>
                    </w:p>
                  </w:txbxContent>
                </v:textbox>
                <w10:wrap type="square"/>
              </v:shape>
            </w:pict>
          </mc:Fallback>
        </mc:AlternateContent>
      </w:r>
      <w:r>
        <w:rPr>
          <w:rFonts w:ascii="Times New Roman" w:hAnsi="Times New Roman"/>
          <w:noProof/>
          <w:color w:val="948A54"/>
          <w:sz w:val="18"/>
          <w:szCs w:val="18"/>
        </w:rPr>
        <w:drawing>
          <wp:anchor distT="0" distB="0" distL="114300" distR="114300" simplePos="0" relativeHeight="251670528" behindDoc="0" locked="0" layoutInCell="1" allowOverlap="1">
            <wp:simplePos x="0" y="0"/>
            <wp:positionH relativeFrom="column">
              <wp:posOffset>0</wp:posOffset>
            </wp:positionH>
            <wp:positionV relativeFrom="paragraph">
              <wp:posOffset>715188</wp:posOffset>
            </wp:positionV>
            <wp:extent cx="6855460" cy="346773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5460" cy="34677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09C9" w:rsidRPr="00DC52F2">
        <w:rPr>
          <w:noProof/>
          <w:color w:val="000000" w:themeColor="text1"/>
        </w:rPr>
        <w:drawing>
          <wp:anchor distT="0" distB="0" distL="114300" distR="114300" simplePos="0" relativeHeight="251669504" behindDoc="0" locked="0" layoutInCell="1" allowOverlap="1" wp14:anchorId="03EFA17A" wp14:editId="1B1284CA">
            <wp:simplePos x="0" y="0"/>
            <wp:positionH relativeFrom="column">
              <wp:posOffset>5677469</wp:posOffset>
            </wp:positionH>
            <wp:positionV relativeFrom="paragraph">
              <wp:posOffset>763584</wp:posOffset>
            </wp:positionV>
            <wp:extent cx="1099820" cy="648268"/>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duotone>
                        <a:schemeClr val="accent5">
                          <a:shade val="45000"/>
                          <a:satMod val="135000"/>
                        </a:schemeClr>
                        <a:prstClr val="white"/>
                      </a:duotone>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109920" cy="654221"/>
                    </a:xfrm>
                    <a:prstGeom prst="rect">
                      <a:avLst/>
                    </a:prstGeom>
                    <a:noFill/>
                    <a:effectLst/>
                  </pic:spPr>
                </pic:pic>
              </a:graphicData>
            </a:graphic>
            <wp14:sizeRelH relativeFrom="page">
              <wp14:pctWidth>0</wp14:pctWidth>
            </wp14:sizeRelH>
            <wp14:sizeRelV relativeFrom="page">
              <wp14:pctHeight>0</wp14:pctHeight>
            </wp14:sizeRelV>
          </wp:anchor>
        </w:drawing>
      </w:r>
      <w:r w:rsidR="004A47BE" w:rsidRPr="000D625B">
        <w:rPr>
          <w:rFonts w:ascii="Times New Roman" w:eastAsia="Times New Roman" w:hAnsi="Times New Roman"/>
        </w:rPr>
        <w:t xml:space="preserve">There are many other additional tax reduction strategies that will vary depending on your financial picture. We encourage </w:t>
      </w:r>
      <w:r w:rsidR="000317A1">
        <w:rPr>
          <w:rFonts w:ascii="Times New Roman" w:eastAsia="Times New Roman" w:hAnsi="Times New Roman"/>
        </w:rPr>
        <w:t>you</w:t>
      </w:r>
      <w:r w:rsidR="004A47BE" w:rsidRPr="000D625B">
        <w:rPr>
          <w:rFonts w:ascii="Times New Roman" w:eastAsia="Times New Roman" w:hAnsi="Times New Roman"/>
        </w:rPr>
        <w:t xml:space="preserve"> to come in so that we can review your particular situation and hopefully take advantage of those tax rules that apply to you</w:t>
      </w:r>
      <w:r w:rsidR="004A47BE" w:rsidRPr="00BD0E83">
        <w:rPr>
          <w:rFonts w:ascii="Times New Roman" w:eastAsia="Times New Roman" w:hAnsi="Times New Roman"/>
        </w:rPr>
        <w:t>.</w:t>
      </w:r>
      <w:r w:rsidR="00BD0E83">
        <w:rPr>
          <w:rFonts w:ascii="Times New Roman" w:eastAsia="Times New Roman" w:hAnsi="Times New Roman"/>
        </w:rPr>
        <w:t xml:space="preserve">  </w:t>
      </w:r>
      <w:r w:rsidR="00BD0E83" w:rsidRPr="00BD0E83">
        <w:rPr>
          <w:rFonts w:ascii="Times New Roman" w:eastAsia="Times New Roman" w:hAnsi="Times New Roman"/>
          <w:b/>
        </w:rPr>
        <w:t>As always, we appreciate the opportunity to assist you in addressing your financial matters and look forward to seeing you soon!</w:t>
      </w:r>
    </w:p>
    <w:p w:rsidR="005B70E8" w:rsidRPr="00456334" w:rsidRDefault="005B70E8" w:rsidP="00FE129D">
      <w:pPr>
        <w:spacing w:after="0"/>
        <w:jc w:val="center"/>
        <w:rPr>
          <w:rFonts w:ascii="Times New Roman" w:eastAsia="Times New Roman" w:hAnsi="Times New Roman"/>
        </w:rPr>
      </w:pPr>
      <w:r w:rsidRPr="00B3442F">
        <w:rPr>
          <w:rFonts w:ascii="Times New Roman" w:hAnsi="Times New Roman"/>
          <w:color w:val="948A54"/>
          <w:sz w:val="18"/>
          <w:szCs w:val="18"/>
          <w:highlight w:val="yellow"/>
        </w:rPr>
        <w:t>Insert Approval Broker/dealer disclaimer</w:t>
      </w:r>
    </w:p>
    <w:p w:rsidR="00771AC6" w:rsidRPr="000C34A8" w:rsidRDefault="000C34A8" w:rsidP="001819E8">
      <w:pPr>
        <w:shd w:val="clear" w:color="auto" w:fill="FFFFFF"/>
        <w:spacing w:before="100" w:beforeAutospacing="1" w:after="100" w:afterAutospacing="1"/>
        <w:jc w:val="both"/>
        <w:rPr>
          <w:rFonts w:ascii="Times New Roman" w:hAnsi="Times New Roman"/>
          <w:color w:val="948A54"/>
          <w:sz w:val="16"/>
          <w:szCs w:val="18"/>
        </w:rPr>
      </w:pPr>
      <w:r w:rsidRPr="000C34A8">
        <w:rPr>
          <w:rFonts w:ascii="Times New Roman" w:hAnsi="Times New Roman"/>
          <w:color w:val="948A54"/>
          <w:sz w:val="16"/>
          <w:szCs w:val="18"/>
        </w:rPr>
        <w:t xml:space="preserve">Note:  The views stated in this letter are not necessarily the opinion of </w:t>
      </w:r>
      <w:r w:rsidRPr="000C34A8">
        <w:rPr>
          <w:rFonts w:ascii="Times New Roman" w:hAnsi="Times New Roman"/>
          <w:color w:val="948A54"/>
          <w:sz w:val="16"/>
          <w:szCs w:val="18"/>
          <w:highlight w:val="yellow"/>
        </w:rPr>
        <w:t>broker/dealer</w:t>
      </w:r>
      <w:r w:rsidRPr="000C34A8">
        <w:rPr>
          <w:rFonts w:ascii="Times New Roman" w:hAnsi="Times New Roman"/>
          <w:color w:val="948A54"/>
          <w:sz w:val="16"/>
          <w:szCs w:val="18"/>
        </w:rPr>
        <w:t xml:space="preserve"> and should not be construed, directly or indirectly, as an offer to buy or sell any securities mentioned herein.  Information is based on sources believed to be reliable; however, their accuracy or completeness cannot be guaranteed.  Please note that statements made in this newsletter may be subject to change depending on any revisions to the tax code or any additional changes in government policy. Investing involves risk including the potential loss of principal. No investment strategy can guarantee a profit or protect against loss in periods of declining values. Past performance is no guarantee of future results. Please note that individual situations can vary. Unless certain criteria are met, Roth IRA owners must be 59½ or older and have held the IRA for five years before tax-free withdrawals are permitted. Additionally, each converted amount is subject to its own five-year holding period. Investors should consult a tax advisor before deciding to do a conversion.</w:t>
      </w:r>
      <w:r w:rsidR="0024227E">
        <w:rPr>
          <w:rFonts w:ascii="Times New Roman" w:hAnsi="Times New Roman"/>
          <w:color w:val="948A54"/>
          <w:sz w:val="16"/>
          <w:szCs w:val="18"/>
        </w:rPr>
        <w:t xml:space="preserve"> </w:t>
      </w:r>
      <w:r w:rsidR="005B70E8" w:rsidRPr="000C34A8">
        <w:rPr>
          <w:rFonts w:ascii="Times New Roman" w:hAnsi="Times New Roman"/>
          <w:color w:val="948A54"/>
          <w:sz w:val="16"/>
          <w:szCs w:val="18"/>
        </w:rPr>
        <w:t xml:space="preserve">Contents </w:t>
      </w:r>
      <w:r w:rsidR="00981534" w:rsidRPr="000C34A8">
        <w:rPr>
          <w:rFonts w:ascii="Times New Roman" w:hAnsi="Times New Roman"/>
          <w:color w:val="948A54"/>
          <w:sz w:val="16"/>
          <w:szCs w:val="18"/>
        </w:rPr>
        <w:t>p</w:t>
      </w:r>
      <w:r w:rsidR="005B70E8" w:rsidRPr="000C34A8">
        <w:rPr>
          <w:rFonts w:ascii="Times New Roman" w:hAnsi="Times New Roman"/>
          <w:color w:val="948A54"/>
          <w:sz w:val="16"/>
          <w:szCs w:val="18"/>
        </w:rPr>
        <w:t>rovided</w:t>
      </w:r>
      <w:r w:rsidR="00981534" w:rsidRPr="000C34A8">
        <w:rPr>
          <w:rFonts w:ascii="Times New Roman" w:hAnsi="Times New Roman"/>
          <w:color w:val="948A54"/>
          <w:sz w:val="16"/>
          <w:szCs w:val="18"/>
        </w:rPr>
        <w:t xml:space="preserve"> b</w:t>
      </w:r>
      <w:r w:rsidR="005B70E8" w:rsidRPr="000C34A8">
        <w:rPr>
          <w:rFonts w:ascii="Times New Roman" w:hAnsi="Times New Roman"/>
          <w:color w:val="948A54"/>
          <w:sz w:val="16"/>
          <w:szCs w:val="18"/>
        </w:rPr>
        <w:t xml:space="preserve">y the Academy of Preferred Financial Advisors, Inc. Reviewed by Keebler &amp; Associates. © Academy of Preferred Financial Advisors, Inc. </w:t>
      </w:r>
      <w:r w:rsidR="009B1FAB" w:rsidRPr="000C34A8">
        <w:rPr>
          <w:rFonts w:ascii="Times New Roman" w:hAnsi="Times New Roman"/>
          <w:color w:val="948A54"/>
          <w:sz w:val="16"/>
          <w:szCs w:val="18"/>
        </w:rPr>
        <w:t>2018</w:t>
      </w:r>
      <w:r w:rsidR="00FE129D" w:rsidRPr="000C34A8">
        <w:rPr>
          <w:rFonts w:ascii="Times New Roman" w:hAnsi="Times New Roman"/>
          <w:color w:val="948A54"/>
          <w:sz w:val="16"/>
          <w:szCs w:val="18"/>
        </w:rPr>
        <w:t>.</w:t>
      </w:r>
      <w:r w:rsidR="00FE2F41" w:rsidRPr="000C34A8">
        <w:rPr>
          <w:rFonts w:ascii="Times New Roman" w:hAnsi="Times New Roman"/>
          <w:color w:val="948A54"/>
          <w:sz w:val="16"/>
          <w:szCs w:val="18"/>
        </w:rPr>
        <w:t xml:space="preserve"> </w:t>
      </w:r>
    </w:p>
    <w:sectPr w:rsidR="00771AC6" w:rsidRPr="000C34A8" w:rsidSect="00257885">
      <w:type w:val="continuous"/>
      <w:pgSz w:w="12240" w:h="15840"/>
      <w:pgMar w:top="576" w:right="720" w:bottom="900" w:left="720" w:header="720" w:footer="6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6AF" w:rsidRDefault="004846AF">
      <w:pPr>
        <w:spacing w:after="0" w:line="240" w:lineRule="auto"/>
      </w:pPr>
      <w:r>
        <w:separator/>
      </w:r>
    </w:p>
  </w:endnote>
  <w:endnote w:type="continuationSeparator" w:id="0">
    <w:p w:rsidR="004846AF" w:rsidRDefault="0048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6AF" w:rsidRDefault="004846AF">
      <w:pPr>
        <w:spacing w:after="0" w:line="240" w:lineRule="auto"/>
      </w:pPr>
      <w:r>
        <w:separator/>
      </w:r>
    </w:p>
  </w:footnote>
  <w:footnote w:type="continuationSeparator" w:id="0">
    <w:p w:rsidR="004846AF" w:rsidRDefault="0048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
      </v:shape>
    </w:pict>
  </w:numPicBullet>
  <w:abstractNum w:abstractNumId="0" w15:restartNumberingAfterBreak="0">
    <w:nsid w:val="0441704F"/>
    <w:multiLevelType w:val="hybridMultilevel"/>
    <w:tmpl w:val="A616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F5EB2"/>
    <w:multiLevelType w:val="hybridMultilevel"/>
    <w:tmpl w:val="501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4986"/>
    <w:multiLevelType w:val="hybridMultilevel"/>
    <w:tmpl w:val="C34CB75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A092DEA"/>
    <w:multiLevelType w:val="hybridMultilevel"/>
    <w:tmpl w:val="6386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D73"/>
    <w:multiLevelType w:val="multilevel"/>
    <w:tmpl w:val="3F5C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01CC"/>
    <w:multiLevelType w:val="hybridMultilevel"/>
    <w:tmpl w:val="337ECDE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 w15:restartNumberingAfterBreak="0">
    <w:nsid w:val="15A75E52"/>
    <w:multiLevelType w:val="hybridMultilevel"/>
    <w:tmpl w:val="5E567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A37C1"/>
    <w:multiLevelType w:val="multilevel"/>
    <w:tmpl w:val="5270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170FD"/>
    <w:multiLevelType w:val="multilevel"/>
    <w:tmpl w:val="C392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B5118"/>
    <w:multiLevelType w:val="hybridMultilevel"/>
    <w:tmpl w:val="B4C431F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943160"/>
    <w:multiLevelType w:val="hybridMultilevel"/>
    <w:tmpl w:val="C5BA1EC0"/>
    <w:lvl w:ilvl="0" w:tplc="291C83E0">
      <w:start w:val="1"/>
      <w:numFmt w:val="decimal"/>
      <w:lvlText w:val="%1."/>
      <w:lvlJc w:val="left"/>
      <w:pPr>
        <w:ind w:left="720" w:hanging="360"/>
      </w:pPr>
      <w:rPr>
        <w:rFonts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84FB6"/>
    <w:multiLevelType w:val="hybridMultilevel"/>
    <w:tmpl w:val="6E3E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963090"/>
    <w:multiLevelType w:val="hybridMultilevel"/>
    <w:tmpl w:val="7962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A5D10"/>
    <w:multiLevelType w:val="hybridMultilevel"/>
    <w:tmpl w:val="F73A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A7129"/>
    <w:multiLevelType w:val="hybridMultilevel"/>
    <w:tmpl w:val="DE504402"/>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768A0"/>
    <w:multiLevelType w:val="hybridMultilevel"/>
    <w:tmpl w:val="605AFA9E"/>
    <w:lvl w:ilvl="0" w:tplc="10D885A6">
      <w:start w:val="1"/>
      <w:numFmt w:val="bullet"/>
      <w:lvlText w:val=""/>
      <w:lvlJc w:val="left"/>
      <w:pPr>
        <w:ind w:left="720" w:hanging="360"/>
      </w:pPr>
      <w:rPr>
        <w:rFonts w:ascii="Symbol" w:hAnsi="Symbol" w:hint="default"/>
        <w:color w:val="1F4E79"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F14"/>
    <w:multiLevelType w:val="hybridMultilevel"/>
    <w:tmpl w:val="56B2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2D6D74"/>
    <w:multiLevelType w:val="hybridMultilevel"/>
    <w:tmpl w:val="A23A2428"/>
    <w:lvl w:ilvl="0" w:tplc="04090001">
      <w:start w:val="1"/>
      <w:numFmt w:val="bullet"/>
      <w:lvlText w:val=""/>
      <w:lvlJc w:val="left"/>
      <w:pPr>
        <w:ind w:left="720" w:hanging="360"/>
      </w:pPr>
      <w:rPr>
        <w:rFonts w:ascii="Symbol" w:hAnsi="Symbol" w:hint="default"/>
      </w:rPr>
    </w:lvl>
    <w:lvl w:ilvl="1" w:tplc="7F5091A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55DD2"/>
    <w:multiLevelType w:val="hybridMultilevel"/>
    <w:tmpl w:val="F8E2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06540"/>
    <w:multiLevelType w:val="hybridMultilevel"/>
    <w:tmpl w:val="3CE220C2"/>
    <w:lvl w:ilvl="0" w:tplc="F43EA71E">
      <w:start w:val="1"/>
      <w:numFmt w:val="bullet"/>
      <w:lvlText w:val=""/>
      <w:lvlJc w:val="left"/>
      <w:pPr>
        <w:ind w:left="630" w:hanging="360"/>
      </w:pPr>
      <w:rPr>
        <w:rFonts w:ascii="Wingdings" w:hAnsi="Wingdings" w:hint="default"/>
        <w:b/>
        <w:i w:val="0"/>
        <w:color w:val="245422"/>
        <w:sz w:val="32"/>
        <w:szCs w:val="32"/>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31B0575E"/>
    <w:multiLevelType w:val="hybridMultilevel"/>
    <w:tmpl w:val="03F87CE8"/>
    <w:lvl w:ilvl="0" w:tplc="882C860E">
      <w:start w:val="1"/>
      <w:numFmt w:val="bullet"/>
      <w:lvlText w:val=""/>
      <w:lvlPicBulletId w:val="0"/>
      <w:lvlJc w:val="left"/>
      <w:pPr>
        <w:ind w:left="810" w:hanging="360"/>
      </w:pPr>
      <w:rPr>
        <w:rFonts w:ascii="Symbol" w:hAnsi="Symbol" w:hint="default"/>
        <w:b/>
        <w:i w:val="0"/>
        <w:color w:val="auto"/>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1B66221"/>
    <w:multiLevelType w:val="hybridMultilevel"/>
    <w:tmpl w:val="A4A871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2691330"/>
    <w:multiLevelType w:val="hybridMultilevel"/>
    <w:tmpl w:val="75327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A245D"/>
    <w:multiLevelType w:val="hybridMultilevel"/>
    <w:tmpl w:val="65B8D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D01B6"/>
    <w:multiLevelType w:val="hybridMultilevel"/>
    <w:tmpl w:val="8B5CB8BA"/>
    <w:lvl w:ilvl="0" w:tplc="04090001">
      <w:start w:val="1"/>
      <w:numFmt w:val="bullet"/>
      <w:lvlText w:val=""/>
      <w:lvlJc w:val="left"/>
      <w:pPr>
        <w:ind w:left="720" w:hanging="360"/>
      </w:pPr>
      <w:rPr>
        <w:rFonts w:ascii="Symbol" w:hAnsi="Symbol"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3380D"/>
    <w:multiLevelType w:val="hybridMultilevel"/>
    <w:tmpl w:val="ACBAF22E"/>
    <w:lvl w:ilvl="0" w:tplc="63AE6754">
      <w:start w:val="1"/>
      <w:numFmt w:val="bullet"/>
      <w:lvlText w:val=""/>
      <w:lvlJc w:val="left"/>
      <w:pPr>
        <w:ind w:left="720" w:hanging="360"/>
      </w:pPr>
      <w:rPr>
        <w:rFonts w:ascii="Wingdings" w:hAnsi="Wingdings" w:hint="default"/>
        <w:b w:val="0"/>
        <w:color w:val="538135" w:themeColor="accent6" w:themeShade="BF"/>
        <w:sz w:val="3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E3481"/>
    <w:multiLevelType w:val="multilevel"/>
    <w:tmpl w:val="EDD4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761CB7"/>
    <w:multiLevelType w:val="multilevel"/>
    <w:tmpl w:val="B3148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1A7A00"/>
    <w:multiLevelType w:val="hybridMultilevel"/>
    <w:tmpl w:val="6D9E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F7F49"/>
    <w:multiLevelType w:val="multilevel"/>
    <w:tmpl w:val="E682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945878"/>
    <w:multiLevelType w:val="hybridMultilevel"/>
    <w:tmpl w:val="0824BA94"/>
    <w:lvl w:ilvl="0" w:tplc="63BC91AA">
      <w:start w:val="1"/>
      <w:numFmt w:val="decimal"/>
      <w:lvlText w:val="%1."/>
      <w:lvlJc w:val="left"/>
      <w:pPr>
        <w:ind w:left="720" w:hanging="360"/>
      </w:pPr>
      <w:rPr>
        <w:rFonts w:hint="default"/>
        <w:b/>
        <w:color w:val="FFFF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849A5"/>
    <w:multiLevelType w:val="hybridMultilevel"/>
    <w:tmpl w:val="F92E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4D6BE2"/>
    <w:multiLevelType w:val="multilevel"/>
    <w:tmpl w:val="12F6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71578A"/>
    <w:multiLevelType w:val="multilevel"/>
    <w:tmpl w:val="96781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2555F3"/>
    <w:multiLevelType w:val="hybridMultilevel"/>
    <w:tmpl w:val="2F24F7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47F605B"/>
    <w:multiLevelType w:val="hybridMultilevel"/>
    <w:tmpl w:val="8EE4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D82D37"/>
    <w:multiLevelType w:val="multilevel"/>
    <w:tmpl w:val="5038F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EA6359"/>
    <w:multiLevelType w:val="hybridMultilevel"/>
    <w:tmpl w:val="23D402BA"/>
    <w:lvl w:ilvl="0" w:tplc="0A887A42">
      <w:start w:val="1"/>
      <w:numFmt w:val="bullet"/>
      <w:lvlText w:val="•"/>
      <w:lvlJc w:val="left"/>
      <w:pPr>
        <w:tabs>
          <w:tab w:val="num" w:pos="720"/>
        </w:tabs>
        <w:ind w:left="720" w:hanging="360"/>
      </w:pPr>
      <w:rPr>
        <w:rFonts w:ascii="Arial" w:hAnsi="Arial" w:hint="default"/>
      </w:rPr>
    </w:lvl>
    <w:lvl w:ilvl="1" w:tplc="B95ECD92" w:tentative="1">
      <w:start w:val="1"/>
      <w:numFmt w:val="bullet"/>
      <w:lvlText w:val="•"/>
      <w:lvlJc w:val="left"/>
      <w:pPr>
        <w:tabs>
          <w:tab w:val="num" w:pos="1440"/>
        </w:tabs>
        <w:ind w:left="1440" w:hanging="360"/>
      </w:pPr>
      <w:rPr>
        <w:rFonts w:ascii="Arial" w:hAnsi="Arial" w:hint="default"/>
      </w:rPr>
    </w:lvl>
    <w:lvl w:ilvl="2" w:tplc="DD664E88" w:tentative="1">
      <w:start w:val="1"/>
      <w:numFmt w:val="bullet"/>
      <w:lvlText w:val="•"/>
      <w:lvlJc w:val="left"/>
      <w:pPr>
        <w:tabs>
          <w:tab w:val="num" w:pos="2160"/>
        </w:tabs>
        <w:ind w:left="2160" w:hanging="360"/>
      </w:pPr>
      <w:rPr>
        <w:rFonts w:ascii="Arial" w:hAnsi="Arial" w:hint="default"/>
      </w:rPr>
    </w:lvl>
    <w:lvl w:ilvl="3" w:tplc="11BE0692" w:tentative="1">
      <w:start w:val="1"/>
      <w:numFmt w:val="bullet"/>
      <w:lvlText w:val="•"/>
      <w:lvlJc w:val="left"/>
      <w:pPr>
        <w:tabs>
          <w:tab w:val="num" w:pos="2880"/>
        </w:tabs>
        <w:ind w:left="2880" w:hanging="360"/>
      </w:pPr>
      <w:rPr>
        <w:rFonts w:ascii="Arial" w:hAnsi="Arial" w:hint="default"/>
      </w:rPr>
    </w:lvl>
    <w:lvl w:ilvl="4" w:tplc="6ADC0118" w:tentative="1">
      <w:start w:val="1"/>
      <w:numFmt w:val="bullet"/>
      <w:lvlText w:val="•"/>
      <w:lvlJc w:val="left"/>
      <w:pPr>
        <w:tabs>
          <w:tab w:val="num" w:pos="3600"/>
        </w:tabs>
        <w:ind w:left="3600" w:hanging="360"/>
      </w:pPr>
      <w:rPr>
        <w:rFonts w:ascii="Arial" w:hAnsi="Arial" w:hint="default"/>
      </w:rPr>
    </w:lvl>
    <w:lvl w:ilvl="5" w:tplc="4D18FBA8" w:tentative="1">
      <w:start w:val="1"/>
      <w:numFmt w:val="bullet"/>
      <w:lvlText w:val="•"/>
      <w:lvlJc w:val="left"/>
      <w:pPr>
        <w:tabs>
          <w:tab w:val="num" w:pos="4320"/>
        </w:tabs>
        <w:ind w:left="4320" w:hanging="360"/>
      </w:pPr>
      <w:rPr>
        <w:rFonts w:ascii="Arial" w:hAnsi="Arial" w:hint="default"/>
      </w:rPr>
    </w:lvl>
    <w:lvl w:ilvl="6" w:tplc="09A2D468" w:tentative="1">
      <w:start w:val="1"/>
      <w:numFmt w:val="bullet"/>
      <w:lvlText w:val="•"/>
      <w:lvlJc w:val="left"/>
      <w:pPr>
        <w:tabs>
          <w:tab w:val="num" w:pos="5040"/>
        </w:tabs>
        <w:ind w:left="5040" w:hanging="360"/>
      </w:pPr>
      <w:rPr>
        <w:rFonts w:ascii="Arial" w:hAnsi="Arial" w:hint="default"/>
      </w:rPr>
    </w:lvl>
    <w:lvl w:ilvl="7" w:tplc="47A2775E" w:tentative="1">
      <w:start w:val="1"/>
      <w:numFmt w:val="bullet"/>
      <w:lvlText w:val="•"/>
      <w:lvlJc w:val="left"/>
      <w:pPr>
        <w:tabs>
          <w:tab w:val="num" w:pos="5760"/>
        </w:tabs>
        <w:ind w:left="5760" w:hanging="360"/>
      </w:pPr>
      <w:rPr>
        <w:rFonts w:ascii="Arial" w:hAnsi="Arial" w:hint="default"/>
      </w:rPr>
    </w:lvl>
    <w:lvl w:ilvl="8" w:tplc="B66E088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8335B03"/>
    <w:multiLevelType w:val="hybridMultilevel"/>
    <w:tmpl w:val="9A4601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B313906"/>
    <w:multiLevelType w:val="hybridMultilevel"/>
    <w:tmpl w:val="8F8A2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9018A"/>
    <w:multiLevelType w:val="multilevel"/>
    <w:tmpl w:val="768C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3B6BA6"/>
    <w:multiLevelType w:val="multilevel"/>
    <w:tmpl w:val="1218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FE48DA"/>
    <w:multiLevelType w:val="hybridMultilevel"/>
    <w:tmpl w:val="10EA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5F0ABD"/>
    <w:multiLevelType w:val="hybridMultilevel"/>
    <w:tmpl w:val="54103E20"/>
    <w:lvl w:ilvl="0" w:tplc="D47EA4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E73502"/>
    <w:multiLevelType w:val="hybridMultilevel"/>
    <w:tmpl w:val="A54E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51DEB"/>
    <w:multiLevelType w:val="multilevel"/>
    <w:tmpl w:val="CF64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31772"/>
    <w:multiLevelType w:val="hybridMultilevel"/>
    <w:tmpl w:val="4A20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912062"/>
    <w:multiLevelType w:val="hybridMultilevel"/>
    <w:tmpl w:val="1AE0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38"/>
  </w:num>
  <w:num w:numId="4">
    <w:abstractNumId w:val="2"/>
  </w:num>
  <w:num w:numId="5">
    <w:abstractNumId w:val="39"/>
  </w:num>
  <w:num w:numId="6">
    <w:abstractNumId w:val="9"/>
  </w:num>
  <w:num w:numId="7">
    <w:abstractNumId w:val="21"/>
  </w:num>
  <w:num w:numId="8">
    <w:abstractNumId w:val="19"/>
  </w:num>
  <w:num w:numId="9">
    <w:abstractNumId w:val="20"/>
  </w:num>
  <w:num w:numId="10">
    <w:abstractNumId w:val="31"/>
  </w:num>
  <w:num w:numId="11">
    <w:abstractNumId w:val="18"/>
  </w:num>
  <w:num w:numId="12">
    <w:abstractNumId w:val="22"/>
  </w:num>
  <w:num w:numId="13">
    <w:abstractNumId w:val="44"/>
  </w:num>
  <w:num w:numId="14">
    <w:abstractNumId w:val="42"/>
  </w:num>
  <w:num w:numId="15">
    <w:abstractNumId w:val="11"/>
  </w:num>
  <w:num w:numId="16">
    <w:abstractNumId w:val="23"/>
  </w:num>
  <w:num w:numId="17">
    <w:abstractNumId w:val="1"/>
  </w:num>
  <w:num w:numId="18">
    <w:abstractNumId w:val="14"/>
  </w:num>
  <w:num w:numId="19">
    <w:abstractNumId w:val="17"/>
  </w:num>
  <w:num w:numId="20">
    <w:abstractNumId w:val="27"/>
  </w:num>
  <w:num w:numId="21">
    <w:abstractNumId w:val="40"/>
  </w:num>
  <w:num w:numId="22">
    <w:abstractNumId w:val="41"/>
  </w:num>
  <w:num w:numId="23">
    <w:abstractNumId w:val="32"/>
  </w:num>
  <w:num w:numId="24">
    <w:abstractNumId w:val="36"/>
  </w:num>
  <w:num w:numId="25">
    <w:abstractNumId w:val="33"/>
  </w:num>
  <w:num w:numId="26">
    <w:abstractNumId w:val="4"/>
  </w:num>
  <w:num w:numId="27">
    <w:abstractNumId w:val="47"/>
  </w:num>
  <w:num w:numId="28">
    <w:abstractNumId w:val="12"/>
  </w:num>
  <w:num w:numId="29">
    <w:abstractNumId w:val="8"/>
  </w:num>
  <w:num w:numId="30">
    <w:abstractNumId w:val="30"/>
  </w:num>
  <w:num w:numId="31">
    <w:abstractNumId w:val="13"/>
  </w:num>
  <w:num w:numId="32">
    <w:abstractNumId w:val="28"/>
  </w:num>
  <w:num w:numId="33">
    <w:abstractNumId w:val="46"/>
  </w:num>
  <w:num w:numId="34">
    <w:abstractNumId w:val="5"/>
  </w:num>
  <w:num w:numId="35">
    <w:abstractNumId w:val="35"/>
  </w:num>
  <w:num w:numId="36">
    <w:abstractNumId w:val="10"/>
  </w:num>
  <w:num w:numId="37">
    <w:abstractNumId w:val="3"/>
  </w:num>
  <w:num w:numId="38">
    <w:abstractNumId w:val="29"/>
  </w:num>
  <w:num w:numId="39">
    <w:abstractNumId w:val="37"/>
  </w:num>
  <w:num w:numId="40">
    <w:abstractNumId w:val="16"/>
  </w:num>
  <w:num w:numId="41">
    <w:abstractNumId w:val="15"/>
  </w:num>
  <w:num w:numId="42">
    <w:abstractNumId w:val="25"/>
  </w:num>
  <w:num w:numId="43">
    <w:abstractNumId w:val="24"/>
  </w:num>
  <w:num w:numId="44">
    <w:abstractNumId w:val="6"/>
  </w:num>
  <w:num w:numId="45">
    <w:abstractNumId w:val="43"/>
  </w:num>
  <w:num w:numId="46">
    <w:abstractNumId w:val="7"/>
  </w:num>
  <w:num w:numId="47">
    <w:abstractNumId w:val="45"/>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FDE"/>
    <w:rsid w:val="00005B39"/>
    <w:rsid w:val="0001025B"/>
    <w:rsid w:val="00014170"/>
    <w:rsid w:val="00015D46"/>
    <w:rsid w:val="000263E4"/>
    <w:rsid w:val="00027ACD"/>
    <w:rsid w:val="00030FC4"/>
    <w:rsid w:val="000317A1"/>
    <w:rsid w:val="000318CE"/>
    <w:rsid w:val="00035AAA"/>
    <w:rsid w:val="00041CCA"/>
    <w:rsid w:val="00042C51"/>
    <w:rsid w:val="00050D59"/>
    <w:rsid w:val="00051598"/>
    <w:rsid w:val="000575AF"/>
    <w:rsid w:val="00060A39"/>
    <w:rsid w:val="00073670"/>
    <w:rsid w:val="00074178"/>
    <w:rsid w:val="00074761"/>
    <w:rsid w:val="000756D6"/>
    <w:rsid w:val="00084863"/>
    <w:rsid w:val="00093AF9"/>
    <w:rsid w:val="00097B47"/>
    <w:rsid w:val="000B325D"/>
    <w:rsid w:val="000C34A8"/>
    <w:rsid w:val="000D625B"/>
    <w:rsid w:val="000D680B"/>
    <w:rsid w:val="000F0EE1"/>
    <w:rsid w:val="000F3CC4"/>
    <w:rsid w:val="0010280E"/>
    <w:rsid w:val="00104ECA"/>
    <w:rsid w:val="0011013A"/>
    <w:rsid w:val="00114463"/>
    <w:rsid w:val="001277D7"/>
    <w:rsid w:val="00130914"/>
    <w:rsid w:val="001319D4"/>
    <w:rsid w:val="00141326"/>
    <w:rsid w:val="00144A5E"/>
    <w:rsid w:val="00150743"/>
    <w:rsid w:val="00150BC4"/>
    <w:rsid w:val="00154AB1"/>
    <w:rsid w:val="00157056"/>
    <w:rsid w:val="001576BF"/>
    <w:rsid w:val="00157EE5"/>
    <w:rsid w:val="001700B4"/>
    <w:rsid w:val="00170673"/>
    <w:rsid w:val="001815CD"/>
    <w:rsid w:val="001819E8"/>
    <w:rsid w:val="00183B3E"/>
    <w:rsid w:val="00184B19"/>
    <w:rsid w:val="001873B0"/>
    <w:rsid w:val="00195C98"/>
    <w:rsid w:val="001A6E61"/>
    <w:rsid w:val="001A7A1E"/>
    <w:rsid w:val="001B6DDD"/>
    <w:rsid w:val="001C2826"/>
    <w:rsid w:val="001C2F4A"/>
    <w:rsid w:val="001C5290"/>
    <w:rsid w:val="001C7FDF"/>
    <w:rsid w:val="001D5492"/>
    <w:rsid w:val="001D62D7"/>
    <w:rsid w:val="001D78E1"/>
    <w:rsid w:val="001E2C38"/>
    <w:rsid w:val="001E5012"/>
    <w:rsid w:val="001E5DA8"/>
    <w:rsid w:val="001E6EC2"/>
    <w:rsid w:val="001F0080"/>
    <w:rsid w:val="001F72DE"/>
    <w:rsid w:val="001F7EB1"/>
    <w:rsid w:val="002016F2"/>
    <w:rsid w:val="002028E7"/>
    <w:rsid w:val="002037C2"/>
    <w:rsid w:val="00217061"/>
    <w:rsid w:val="00223803"/>
    <w:rsid w:val="00223EF9"/>
    <w:rsid w:val="0022543C"/>
    <w:rsid w:val="002269BC"/>
    <w:rsid w:val="0023567E"/>
    <w:rsid w:val="0024227E"/>
    <w:rsid w:val="0024501A"/>
    <w:rsid w:val="00247972"/>
    <w:rsid w:val="00254C8B"/>
    <w:rsid w:val="00254EE2"/>
    <w:rsid w:val="00257885"/>
    <w:rsid w:val="00263F33"/>
    <w:rsid w:val="0026410C"/>
    <w:rsid w:val="00264F5E"/>
    <w:rsid w:val="00275ACB"/>
    <w:rsid w:val="002820D8"/>
    <w:rsid w:val="00284791"/>
    <w:rsid w:val="0029000A"/>
    <w:rsid w:val="002B0A11"/>
    <w:rsid w:val="002B322D"/>
    <w:rsid w:val="002C0AC3"/>
    <w:rsid w:val="002C107B"/>
    <w:rsid w:val="002D2D6F"/>
    <w:rsid w:val="002D365F"/>
    <w:rsid w:val="002D7997"/>
    <w:rsid w:val="002E41F1"/>
    <w:rsid w:val="002F4B05"/>
    <w:rsid w:val="003133D1"/>
    <w:rsid w:val="00321CA5"/>
    <w:rsid w:val="00322B5C"/>
    <w:rsid w:val="003253F2"/>
    <w:rsid w:val="00325656"/>
    <w:rsid w:val="003319B1"/>
    <w:rsid w:val="0033360F"/>
    <w:rsid w:val="00344771"/>
    <w:rsid w:val="00352A54"/>
    <w:rsid w:val="003539A7"/>
    <w:rsid w:val="00362FA9"/>
    <w:rsid w:val="00363D02"/>
    <w:rsid w:val="003647D7"/>
    <w:rsid w:val="00366D4E"/>
    <w:rsid w:val="00370DA7"/>
    <w:rsid w:val="00380139"/>
    <w:rsid w:val="00382BCB"/>
    <w:rsid w:val="00382CB3"/>
    <w:rsid w:val="00386CBE"/>
    <w:rsid w:val="003949C3"/>
    <w:rsid w:val="003A52B6"/>
    <w:rsid w:val="003C5267"/>
    <w:rsid w:val="003D2288"/>
    <w:rsid w:val="003F3039"/>
    <w:rsid w:val="003F6803"/>
    <w:rsid w:val="00400731"/>
    <w:rsid w:val="0040082E"/>
    <w:rsid w:val="0040576C"/>
    <w:rsid w:val="00416C76"/>
    <w:rsid w:val="0041787E"/>
    <w:rsid w:val="00420D0E"/>
    <w:rsid w:val="00421E8B"/>
    <w:rsid w:val="00424EEB"/>
    <w:rsid w:val="00427E32"/>
    <w:rsid w:val="004335D1"/>
    <w:rsid w:val="00435A54"/>
    <w:rsid w:val="00445F7F"/>
    <w:rsid w:val="00446295"/>
    <w:rsid w:val="004472EA"/>
    <w:rsid w:val="00456334"/>
    <w:rsid w:val="00464286"/>
    <w:rsid w:val="00466AAD"/>
    <w:rsid w:val="004809C9"/>
    <w:rsid w:val="004846AF"/>
    <w:rsid w:val="004967A0"/>
    <w:rsid w:val="004A1580"/>
    <w:rsid w:val="004A2A3B"/>
    <w:rsid w:val="004A47BE"/>
    <w:rsid w:val="004A4EB6"/>
    <w:rsid w:val="004B0469"/>
    <w:rsid w:val="004B21DB"/>
    <w:rsid w:val="004B5AD7"/>
    <w:rsid w:val="004B6749"/>
    <w:rsid w:val="004C0D65"/>
    <w:rsid w:val="004D1146"/>
    <w:rsid w:val="004D7FF0"/>
    <w:rsid w:val="004E13F5"/>
    <w:rsid w:val="004E2711"/>
    <w:rsid w:val="004F000E"/>
    <w:rsid w:val="004F1E23"/>
    <w:rsid w:val="004F201F"/>
    <w:rsid w:val="004F5227"/>
    <w:rsid w:val="004F6670"/>
    <w:rsid w:val="004F6A48"/>
    <w:rsid w:val="00506852"/>
    <w:rsid w:val="00511A5E"/>
    <w:rsid w:val="005205E7"/>
    <w:rsid w:val="00521ED7"/>
    <w:rsid w:val="00542657"/>
    <w:rsid w:val="005449DE"/>
    <w:rsid w:val="0054698F"/>
    <w:rsid w:val="0056486E"/>
    <w:rsid w:val="00567493"/>
    <w:rsid w:val="005840F6"/>
    <w:rsid w:val="005917A9"/>
    <w:rsid w:val="00597C4A"/>
    <w:rsid w:val="005A3579"/>
    <w:rsid w:val="005A3A05"/>
    <w:rsid w:val="005A4238"/>
    <w:rsid w:val="005A7DE2"/>
    <w:rsid w:val="005B004E"/>
    <w:rsid w:val="005B0A35"/>
    <w:rsid w:val="005B16C3"/>
    <w:rsid w:val="005B182B"/>
    <w:rsid w:val="005B3DDA"/>
    <w:rsid w:val="005B70E8"/>
    <w:rsid w:val="005C427F"/>
    <w:rsid w:val="005C4F73"/>
    <w:rsid w:val="005C77D1"/>
    <w:rsid w:val="005D0EEB"/>
    <w:rsid w:val="005D3A7B"/>
    <w:rsid w:val="005D5FDE"/>
    <w:rsid w:val="005D70E7"/>
    <w:rsid w:val="005E20E1"/>
    <w:rsid w:val="005E2139"/>
    <w:rsid w:val="005E6521"/>
    <w:rsid w:val="005F004D"/>
    <w:rsid w:val="005F521E"/>
    <w:rsid w:val="00600190"/>
    <w:rsid w:val="00603DF9"/>
    <w:rsid w:val="00611F0B"/>
    <w:rsid w:val="006203E4"/>
    <w:rsid w:val="00621541"/>
    <w:rsid w:val="00626214"/>
    <w:rsid w:val="00626BD5"/>
    <w:rsid w:val="006348AF"/>
    <w:rsid w:val="00640334"/>
    <w:rsid w:val="006449B7"/>
    <w:rsid w:val="00646E18"/>
    <w:rsid w:val="00647AAF"/>
    <w:rsid w:val="00651DB9"/>
    <w:rsid w:val="00657680"/>
    <w:rsid w:val="006650EE"/>
    <w:rsid w:val="00667764"/>
    <w:rsid w:val="00671A95"/>
    <w:rsid w:val="00680549"/>
    <w:rsid w:val="0069749D"/>
    <w:rsid w:val="006A1367"/>
    <w:rsid w:val="006A2F58"/>
    <w:rsid w:val="006A5AA6"/>
    <w:rsid w:val="006B0A3E"/>
    <w:rsid w:val="006B2998"/>
    <w:rsid w:val="006B3E48"/>
    <w:rsid w:val="006C3AF6"/>
    <w:rsid w:val="006C553A"/>
    <w:rsid w:val="006D7349"/>
    <w:rsid w:val="006D7C5F"/>
    <w:rsid w:val="006D7FD8"/>
    <w:rsid w:val="006E1AFE"/>
    <w:rsid w:val="006E2AF4"/>
    <w:rsid w:val="006F4E77"/>
    <w:rsid w:val="0070256C"/>
    <w:rsid w:val="00704FF2"/>
    <w:rsid w:val="00705F94"/>
    <w:rsid w:val="0071155A"/>
    <w:rsid w:val="007176D1"/>
    <w:rsid w:val="00721B3F"/>
    <w:rsid w:val="00726F62"/>
    <w:rsid w:val="0073345E"/>
    <w:rsid w:val="00746D7E"/>
    <w:rsid w:val="00746F7F"/>
    <w:rsid w:val="0075327B"/>
    <w:rsid w:val="007602EE"/>
    <w:rsid w:val="00760F41"/>
    <w:rsid w:val="00765CD6"/>
    <w:rsid w:val="00771AC6"/>
    <w:rsid w:val="00780C2D"/>
    <w:rsid w:val="00784BE2"/>
    <w:rsid w:val="007862CC"/>
    <w:rsid w:val="00787F62"/>
    <w:rsid w:val="0079426D"/>
    <w:rsid w:val="00795E27"/>
    <w:rsid w:val="007A7044"/>
    <w:rsid w:val="007B4014"/>
    <w:rsid w:val="007C0306"/>
    <w:rsid w:val="007C077B"/>
    <w:rsid w:val="007C102D"/>
    <w:rsid w:val="007D43C1"/>
    <w:rsid w:val="007F042C"/>
    <w:rsid w:val="007F6ED0"/>
    <w:rsid w:val="007F7C17"/>
    <w:rsid w:val="00801A42"/>
    <w:rsid w:val="00805731"/>
    <w:rsid w:val="00820DA4"/>
    <w:rsid w:val="00821C0A"/>
    <w:rsid w:val="00822666"/>
    <w:rsid w:val="00831734"/>
    <w:rsid w:val="00834D89"/>
    <w:rsid w:val="00840078"/>
    <w:rsid w:val="00854036"/>
    <w:rsid w:val="0086096B"/>
    <w:rsid w:val="008650B9"/>
    <w:rsid w:val="008661D1"/>
    <w:rsid w:val="008670D4"/>
    <w:rsid w:val="00872CB8"/>
    <w:rsid w:val="0087477A"/>
    <w:rsid w:val="008815D4"/>
    <w:rsid w:val="00881DEB"/>
    <w:rsid w:val="00893EF8"/>
    <w:rsid w:val="00893FF4"/>
    <w:rsid w:val="0089486B"/>
    <w:rsid w:val="00897C19"/>
    <w:rsid w:val="008A2C16"/>
    <w:rsid w:val="008C00C2"/>
    <w:rsid w:val="008C0ADC"/>
    <w:rsid w:val="008C58A5"/>
    <w:rsid w:val="008C6E3F"/>
    <w:rsid w:val="008D14AD"/>
    <w:rsid w:val="008D2E45"/>
    <w:rsid w:val="008D41DB"/>
    <w:rsid w:val="008D4CDA"/>
    <w:rsid w:val="008D654D"/>
    <w:rsid w:val="008E204F"/>
    <w:rsid w:val="008E4089"/>
    <w:rsid w:val="008E5A49"/>
    <w:rsid w:val="008E66E5"/>
    <w:rsid w:val="008E6BAA"/>
    <w:rsid w:val="008F4DBD"/>
    <w:rsid w:val="00902DF1"/>
    <w:rsid w:val="00903E34"/>
    <w:rsid w:val="0091076E"/>
    <w:rsid w:val="009216B3"/>
    <w:rsid w:val="009258C2"/>
    <w:rsid w:val="0093362A"/>
    <w:rsid w:val="00934762"/>
    <w:rsid w:val="009354F7"/>
    <w:rsid w:val="009360C5"/>
    <w:rsid w:val="009372CE"/>
    <w:rsid w:val="00941E2E"/>
    <w:rsid w:val="00955550"/>
    <w:rsid w:val="00960CCE"/>
    <w:rsid w:val="00961D24"/>
    <w:rsid w:val="00961D8E"/>
    <w:rsid w:val="00964D73"/>
    <w:rsid w:val="00972FF1"/>
    <w:rsid w:val="00974570"/>
    <w:rsid w:val="00975B95"/>
    <w:rsid w:val="00976454"/>
    <w:rsid w:val="00976D83"/>
    <w:rsid w:val="0098078C"/>
    <w:rsid w:val="00981534"/>
    <w:rsid w:val="0098214B"/>
    <w:rsid w:val="00991D26"/>
    <w:rsid w:val="00994543"/>
    <w:rsid w:val="00997361"/>
    <w:rsid w:val="009B1FAB"/>
    <w:rsid w:val="009B2784"/>
    <w:rsid w:val="009B52D3"/>
    <w:rsid w:val="009B6004"/>
    <w:rsid w:val="009B6C4E"/>
    <w:rsid w:val="009D6F41"/>
    <w:rsid w:val="009D7F0E"/>
    <w:rsid w:val="009E032F"/>
    <w:rsid w:val="009E51A8"/>
    <w:rsid w:val="009F18C2"/>
    <w:rsid w:val="00A03FA6"/>
    <w:rsid w:val="00A06939"/>
    <w:rsid w:val="00A10BB6"/>
    <w:rsid w:val="00A172AE"/>
    <w:rsid w:val="00A336DA"/>
    <w:rsid w:val="00A36462"/>
    <w:rsid w:val="00A47AA9"/>
    <w:rsid w:val="00A50611"/>
    <w:rsid w:val="00A616A3"/>
    <w:rsid w:val="00A66B8F"/>
    <w:rsid w:val="00A7423C"/>
    <w:rsid w:val="00A83A39"/>
    <w:rsid w:val="00A84B18"/>
    <w:rsid w:val="00A938B3"/>
    <w:rsid w:val="00AA08AB"/>
    <w:rsid w:val="00AA1110"/>
    <w:rsid w:val="00AA6A5B"/>
    <w:rsid w:val="00AA7E83"/>
    <w:rsid w:val="00AB1856"/>
    <w:rsid w:val="00AB3C3B"/>
    <w:rsid w:val="00AB5ED2"/>
    <w:rsid w:val="00AC027F"/>
    <w:rsid w:val="00AD02C0"/>
    <w:rsid w:val="00AD1928"/>
    <w:rsid w:val="00AD5F2A"/>
    <w:rsid w:val="00AD68EB"/>
    <w:rsid w:val="00AD6AA4"/>
    <w:rsid w:val="00AD6DDB"/>
    <w:rsid w:val="00AD70A2"/>
    <w:rsid w:val="00AF5ECD"/>
    <w:rsid w:val="00AF7926"/>
    <w:rsid w:val="00AF7D15"/>
    <w:rsid w:val="00B077CC"/>
    <w:rsid w:val="00B078E9"/>
    <w:rsid w:val="00B31AC0"/>
    <w:rsid w:val="00B3221B"/>
    <w:rsid w:val="00B32576"/>
    <w:rsid w:val="00B3442F"/>
    <w:rsid w:val="00B35E5C"/>
    <w:rsid w:val="00B41541"/>
    <w:rsid w:val="00B507ED"/>
    <w:rsid w:val="00B51024"/>
    <w:rsid w:val="00B51A76"/>
    <w:rsid w:val="00B51EE6"/>
    <w:rsid w:val="00B54017"/>
    <w:rsid w:val="00B6075B"/>
    <w:rsid w:val="00B61A08"/>
    <w:rsid w:val="00B63C2E"/>
    <w:rsid w:val="00B6455E"/>
    <w:rsid w:val="00B66DE8"/>
    <w:rsid w:val="00B7014C"/>
    <w:rsid w:val="00B71A72"/>
    <w:rsid w:val="00B73B45"/>
    <w:rsid w:val="00B80EDE"/>
    <w:rsid w:val="00B82C9E"/>
    <w:rsid w:val="00B85096"/>
    <w:rsid w:val="00B8695B"/>
    <w:rsid w:val="00BA3138"/>
    <w:rsid w:val="00BA3DEA"/>
    <w:rsid w:val="00BA52C8"/>
    <w:rsid w:val="00BA62BB"/>
    <w:rsid w:val="00BB19A4"/>
    <w:rsid w:val="00BB4F2A"/>
    <w:rsid w:val="00BC4496"/>
    <w:rsid w:val="00BC6997"/>
    <w:rsid w:val="00BD0E83"/>
    <w:rsid w:val="00BD227A"/>
    <w:rsid w:val="00BE354B"/>
    <w:rsid w:val="00BE76D8"/>
    <w:rsid w:val="00BF3463"/>
    <w:rsid w:val="00BF560D"/>
    <w:rsid w:val="00C00FF1"/>
    <w:rsid w:val="00C06E1C"/>
    <w:rsid w:val="00C10E0E"/>
    <w:rsid w:val="00C3640F"/>
    <w:rsid w:val="00C46F7A"/>
    <w:rsid w:val="00C5235B"/>
    <w:rsid w:val="00C55743"/>
    <w:rsid w:val="00C571E0"/>
    <w:rsid w:val="00C6678A"/>
    <w:rsid w:val="00C7233C"/>
    <w:rsid w:val="00C7297D"/>
    <w:rsid w:val="00C77F59"/>
    <w:rsid w:val="00C80F36"/>
    <w:rsid w:val="00C85778"/>
    <w:rsid w:val="00C95515"/>
    <w:rsid w:val="00CA15B9"/>
    <w:rsid w:val="00CB6FAF"/>
    <w:rsid w:val="00CC2873"/>
    <w:rsid w:val="00CC3FF5"/>
    <w:rsid w:val="00CC4F44"/>
    <w:rsid w:val="00CC5FE2"/>
    <w:rsid w:val="00CD1C48"/>
    <w:rsid w:val="00CD5530"/>
    <w:rsid w:val="00CE5861"/>
    <w:rsid w:val="00CE7EEB"/>
    <w:rsid w:val="00CF5C91"/>
    <w:rsid w:val="00D00740"/>
    <w:rsid w:val="00D14D51"/>
    <w:rsid w:val="00D31B04"/>
    <w:rsid w:val="00D35487"/>
    <w:rsid w:val="00D541BC"/>
    <w:rsid w:val="00D55C5D"/>
    <w:rsid w:val="00D61CED"/>
    <w:rsid w:val="00D622D4"/>
    <w:rsid w:val="00D653E1"/>
    <w:rsid w:val="00D70D7C"/>
    <w:rsid w:val="00D72F57"/>
    <w:rsid w:val="00D733A6"/>
    <w:rsid w:val="00D734C6"/>
    <w:rsid w:val="00D74C78"/>
    <w:rsid w:val="00D77039"/>
    <w:rsid w:val="00D775F2"/>
    <w:rsid w:val="00D84432"/>
    <w:rsid w:val="00D9108C"/>
    <w:rsid w:val="00D9744A"/>
    <w:rsid w:val="00D97A0A"/>
    <w:rsid w:val="00DA4389"/>
    <w:rsid w:val="00DA44AB"/>
    <w:rsid w:val="00DB0AC0"/>
    <w:rsid w:val="00DB3C3D"/>
    <w:rsid w:val="00DB511E"/>
    <w:rsid w:val="00DB7F6C"/>
    <w:rsid w:val="00DC46BB"/>
    <w:rsid w:val="00DD20A3"/>
    <w:rsid w:val="00DD6DC7"/>
    <w:rsid w:val="00DE41E4"/>
    <w:rsid w:val="00DE4D0E"/>
    <w:rsid w:val="00DE763A"/>
    <w:rsid w:val="00DF0A3F"/>
    <w:rsid w:val="00DF42DD"/>
    <w:rsid w:val="00E005A0"/>
    <w:rsid w:val="00E0185B"/>
    <w:rsid w:val="00E058EC"/>
    <w:rsid w:val="00E05B77"/>
    <w:rsid w:val="00E07526"/>
    <w:rsid w:val="00E11C0D"/>
    <w:rsid w:val="00E12E80"/>
    <w:rsid w:val="00E22188"/>
    <w:rsid w:val="00E33C10"/>
    <w:rsid w:val="00E37AD1"/>
    <w:rsid w:val="00E47100"/>
    <w:rsid w:val="00E479BF"/>
    <w:rsid w:val="00E47AC2"/>
    <w:rsid w:val="00E507C9"/>
    <w:rsid w:val="00E5239A"/>
    <w:rsid w:val="00E5372F"/>
    <w:rsid w:val="00E5375C"/>
    <w:rsid w:val="00E70FF6"/>
    <w:rsid w:val="00E741EA"/>
    <w:rsid w:val="00E7471A"/>
    <w:rsid w:val="00E8107E"/>
    <w:rsid w:val="00E90476"/>
    <w:rsid w:val="00E91317"/>
    <w:rsid w:val="00EB286E"/>
    <w:rsid w:val="00EC670F"/>
    <w:rsid w:val="00ED0CA6"/>
    <w:rsid w:val="00ED4981"/>
    <w:rsid w:val="00ED5307"/>
    <w:rsid w:val="00EE1875"/>
    <w:rsid w:val="00EE4A5F"/>
    <w:rsid w:val="00EF7F2F"/>
    <w:rsid w:val="00F06086"/>
    <w:rsid w:val="00F108A0"/>
    <w:rsid w:val="00F11C84"/>
    <w:rsid w:val="00F149DB"/>
    <w:rsid w:val="00F2037A"/>
    <w:rsid w:val="00F2318B"/>
    <w:rsid w:val="00F30AB4"/>
    <w:rsid w:val="00F31F5D"/>
    <w:rsid w:val="00F32BE4"/>
    <w:rsid w:val="00F336F7"/>
    <w:rsid w:val="00F418CE"/>
    <w:rsid w:val="00F42FE0"/>
    <w:rsid w:val="00F4372A"/>
    <w:rsid w:val="00F45C70"/>
    <w:rsid w:val="00F46CBE"/>
    <w:rsid w:val="00F50C39"/>
    <w:rsid w:val="00F527FE"/>
    <w:rsid w:val="00F543E8"/>
    <w:rsid w:val="00F55CA5"/>
    <w:rsid w:val="00F62372"/>
    <w:rsid w:val="00F67C4D"/>
    <w:rsid w:val="00F70B33"/>
    <w:rsid w:val="00F70E8B"/>
    <w:rsid w:val="00F72B2B"/>
    <w:rsid w:val="00F73002"/>
    <w:rsid w:val="00F73290"/>
    <w:rsid w:val="00F751FE"/>
    <w:rsid w:val="00F82B18"/>
    <w:rsid w:val="00F86626"/>
    <w:rsid w:val="00F9122B"/>
    <w:rsid w:val="00F918E5"/>
    <w:rsid w:val="00F93C22"/>
    <w:rsid w:val="00F94FE8"/>
    <w:rsid w:val="00F95AE1"/>
    <w:rsid w:val="00FA38BA"/>
    <w:rsid w:val="00FA6D6E"/>
    <w:rsid w:val="00FA6EE0"/>
    <w:rsid w:val="00FB0696"/>
    <w:rsid w:val="00FB3019"/>
    <w:rsid w:val="00FB450A"/>
    <w:rsid w:val="00FE129D"/>
    <w:rsid w:val="00FE2E75"/>
    <w:rsid w:val="00FE2F41"/>
    <w:rsid w:val="00FE51E2"/>
    <w:rsid w:val="00FF0D18"/>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B9ACA"/>
  <w15:docId w15:val="{23390F1C-1BB8-4881-A7D7-2266EB0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FDE"/>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5D5FDE"/>
    <w:pPr>
      <w:keepNext/>
      <w:spacing w:after="0" w:line="240" w:lineRule="auto"/>
      <w:jc w:val="center"/>
      <w:outlineLvl w:val="0"/>
    </w:pPr>
    <w:rPr>
      <w:rFonts w:ascii="Times New Roman" w:eastAsia="Times New Roman" w:hAnsi="Times New Roman"/>
      <w:b/>
      <w:sz w:val="24"/>
      <w:szCs w:val="20"/>
      <w:u w:val="single"/>
    </w:rPr>
  </w:style>
  <w:style w:type="paragraph" w:styleId="Heading2">
    <w:name w:val="heading 2"/>
    <w:basedOn w:val="Normal"/>
    <w:next w:val="Normal"/>
    <w:link w:val="Heading2Char"/>
    <w:semiHidden/>
    <w:unhideWhenUsed/>
    <w:qFormat/>
    <w:rsid w:val="005D5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5D5F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5FDE"/>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semiHidden/>
    <w:rsid w:val="005D5F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D5F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semiHidden/>
    <w:rsid w:val="005D5F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FDE"/>
    <w:rPr>
      <w:rFonts w:ascii="Calibri" w:eastAsia="Calibri" w:hAnsi="Calibri" w:cs="Times New Roman"/>
    </w:rPr>
  </w:style>
  <w:style w:type="paragraph" w:styleId="Footer">
    <w:name w:val="footer"/>
    <w:basedOn w:val="Normal"/>
    <w:link w:val="FooterChar"/>
    <w:rsid w:val="005D5FDE"/>
    <w:pPr>
      <w:tabs>
        <w:tab w:val="center" w:pos="4680"/>
        <w:tab w:val="right" w:pos="9360"/>
      </w:tabs>
      <w:spacing w:after="0" w:line="240" w:lineRule="auto"/>
    </w:pPr>
  </w:style>
  <w:style w:type="character" w:customStyle="1" w:styleId="FooterChar">
    <w:name w:val="Footer Char"/>
    <w:basedOn w:val="DefaultParagraphFont"/>
    <w:link w:val="Footer"/>
    <w:rsid w:val="005D5FDE"/>
    <w:rPr>
      <w:rFonts w:ascii="Calibri" w:eastAsia="Calibri" w:hAnsi="Calibri" w:cs="Times New Roman"/>
    </w:rPr>
  </w:style>
  <w:style w:type="paragraph" w:styleId="IntenseQuote">
    <w:name w:val="Intense Quote"/>
    <w:basedOn w:val="Normal"/>
    <w:next w:val="Normal"/>
    <w:link w:val="IntenseQuoteChar"/>
    <w:uiPriority w:val="99"/>
    <w:qFormat/>
    <w:rsid w:val="005D5FDE"/>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99"/>
    <w:rsid w:val="005D5FDE"/>
    <w:rPr>
      <w:rFonts w:ascii="Calibri" w:eastAsia="Calibri" w:hAnsi="Calibri" w:cs="Times New Roman"/>
      <w:b/>
      <w:bCs/>
      <w:i/>
      <w:iCs/>
    </w:rPr>
  </w:style>
  <w:style w:type="paragraph" w:styleId="ListParagraph">
    <w:name w:val="List Paragraph"/>
    <w:basedOn w:val="Normal"/>
    <w:uiPriority w:val="34"/>
    <w:qFormat/>
    <w:rsid w:val="005D5FDE"/>
    <w:pPr>
      <w:ind w:left="720"/>
      <w:contextualSpacing/>
    </w:pPr>
  </w:style>
  <w:style w:type="character" w:styleId="Hyperlink">
    <w:name w:val="Hyperlink"/>
    <w:basedOn w:val="DefaultParagraphFont"/>
    <w:uiPriority w:val="99"/>
    <w:rsid w:val="005D5FDE"/>
    <w:rPr>
      <w:rFonts w:cs="Times New Roman"/>
      <w:color w:val="0000FF"/>
      <w:u w:val="single"/>
    </w:rPr>
  </w:style>
  <w:style w:type="paragraph" w:styleId="BalloonText">
    <w:name w:val="Balloon Text"/>
    <w:basedOn w:val="Normal"/>
    <w:link w:val="BalloonTextChar"/>
    <w:uiPriority w:val="99"/>
    <w:semiHidden/>
    <w:rsid w:val="005D5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FDE"/>
    <w:rPr>
      <w:rFonts w:ascii="Tahoma" w:eastAsia="Calibri" w:hAnsi="Tahoma" w:cs="Tahoma"/>
      <w:sz w:val="16"/>
      <w:szCs w:val="16"/>
    </w:rPr>
  </w:style>
  <w:style w:type="character" w:styleId="FollowedHyperlink">
    <w:name w:val="FollowedHyperlink"/>
    <w:basedOn w:val="DefaultParagraphFont"/>
    <w:uiPriority w:val="99"/>
    <w:semiHidden/>
    <w:rsid w:val="005D5FDE"/>
    <w:rPr>
      <w:rFonts w:cs="Times New Roman"/>
      <w:color w:val="800080"/>
      <w:u w:val="single"/>
    </w:rPr>
  </w:style>
  <w:style w:type="paragraph" w:styleId="NoSpacing">
    <w:name w:val="No Spacing"/>
    <w:uiPriority w:val="99"/>
    <w:qFormat/>
    <w:rsid w:val="005D5FDE"/>
    <w:pPr>
      <w:spacing w:after="0" w:line="240" w:lineRule="auto"/>
    </w:pPr>
    <w:rPr>
      <w:rFonts w:ascii="Calibri" w:eastAsia="Times New Roman" w:hAnsi="Calibri" w:cs="Times New Roman"/>
    </w:rPr>
  </w:style>
  <w:style w:type="table" w:styleId="TableGrid">
    <w:name w:val="Table Grid"/>
    <w:basedOn w:val="TableNormal"/>
    <w:uiPriority w:val="39"/>
    <w:rsid w:val="005D5FD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word">
    <w:name w:val="cm_word"/>
    <w:basedOn w:val="DefaultParagraphFont"/>
    <w:uiPriority w:val="99"/>
    <w:rsid w:val="005D5FDE"/>
    <w:rPr>
      <w:rFonts w:cs="Times New Roman"/>
    </w:rPr>
  </w:style>
  <w:style w:type="paragraph" w:customStyle="1" w:styleId="Default">
    <w:name w:val="Default"/>
    <w:rsid w:val="005D5FD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5D5FDE"/>
    <w:rPr>
      <w:b/>
      <w:bCs/>
    </w:rPr>
  </w:style>
  <w:style w:type="character" w:styleId="Emphasis">
    <w:name w:val="Emphasis"/>
    <w:basedOn w:val="DefaultParagraphFont"/>
    <w:uiPriority w:val="20"/>
    <w:qFormat/>
    <w:rsid w:val="005D5FDE"/>
    <w:rPr>
      <w:i/>
      <w:iCs/>
    </w:rPr>
  </w:style>
  <w:style w:type="table" w:customStyle="1" w:styleId="PlainTable11">
    <w:name w:val="Plain Table 11"/>
    <w:basedOn w:val="TableNormal"/>
    <w:uiPriority w:val="41"/>
    <w:rsid w:val="005D5FDE"/>
    <w:pPr>
      <w:spacing w:after="0" w:line="240" w:lineRule="auto"/>
    </w:pPr>
    <w:rPr>
      <w:rFonts w:ascii="Calibri" w:eastAsia="Calibri" w:hAnsi="Calibri" w:cs="Times New Roman"/>
      <w:sz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D5FDE"/>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5D5FDE"/>
  </w:style>
  <w:style w:type="character" w:customStyle="1" w:styleId="source">
    <w:name w:val="source"/>
    <w:basedOn w:val="DefaultParagraphFont"/>
    <w:rsid w:val="005D5FDE"/>
  </w:style>
  <w:style w:type="character" w:customStyle="1" w:styleId="UnresolvedMention1">
    <w:name w:val="Unresolved Mention1"/>
    <w:basedOn w:val="DefaultParagraphFont"/>
    <w:uiPriority w:val="99"/>
    <w:semiHidden/>
    <w:unhideWhenUsed/>
    <w:rsid w:val="004F6A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195299">
      <w:bodyDiv w:val="1"/>
      <w:marLeft w:val="0"/>
      <w:marRight w:val="0"/>
      <w:marTop w:val="0"/>
      <w:marBottom w:val="0"/>
      <w:divBdr>
        <w:top w:val="none" w:sz="0" w:space="0" w:color="auto"/>
        <w:left w:val="none" w:sz="0" w:space="0" w:color="auto"/>
        <w:bottom w:val="none" w:sz="0" w:space="0" w:color="auto"/>
        <w:right w:val="none" w:sz="0" w:space="0" w:color="auto"/>
      </w:divBdr>
    </w:div>
    <w:div w:id="484709429">
      <w:bodyDiv w:val="1"/>
      <w:marLeft w:val="0"/>
      <w:marRight w:val="0"/>
      <w:marTop w:val="0"/>
      <w:marBottom w:val="0"/>
      <w:divBdr>
        <w:top w:val="none" w:sz="0" w:space="0" w:color="auto"/>
        <w:left w:val="none" w:sz="0" w:space="0" w:color="auto"/>
        <w:bottom w:val="none" w:sz="0" w:space="0" w:color="auto"/>
        <w:right w:val="none" w:sz="0" w:space="0" w:color="auto"/>
      </w:divBdr>
    </w:div>
    <w:div w:id="615529743">
      <w:bodyDiv w:val="1"/>
      <w:marLeft w:val="0"/>
      <w:marRight w:val="0"/>
      <w:marTop w:val="0"/>
      <w:marBottom w:val="0"/>
      <w:divBdr>
        <w:top w:val="none" w:sz="0" w:space="0" w:color="auto"/>
        <w:left w:val="none" w:sz="0" w:space="0" w:color="auto"/>
        <w:bottom w:val="none" w:sz="0" w:space="0" w:color="auto"/>
        <w:right w:val="none" w:sz="0" w:space="0" w:color="auto"/>
      </w:divBdr>
    </w:div>
    <w:div w:id="720591429">
      <w:bodyDiv w:val="1"/>
      <w:marLeft w:val="0"/>
      <w:marRight w:val="0"/>
      <w:marTop w:val="0"/>
      <w:marBottom w:val="0"/>
      <w:divBdr>
        <w:top w:val="none" w:sz="0" w:space="0" w:color="auto"/>
        <w:left w:val="none" w:sz="0" w:space="0" w:color="auto"/>
        <w:bottom w:val="none" w:sz="0" w:space="0" w:color="auto"/>
        <w:right w:val="none" w:sz="0" w:space="0" w:color="auto"/>
      </w:divBdr>
    </w:div>
    <w:div w:id="737821697">
      <w:bodyDiv w:val="1"/>
      <w:marLeft w:val="0"/>
      <w:marRight w:val="0"/>
      <w:marTop w:val="0"/>
      <w:marBottom w:val="0"/>
      <w:divBdr>
        <w:top w:val="none" w:sz="0" w:space="0" w:color="auto"/>
        <w:left w:val="none" w:sz="0" w:space="0" w:color="auto"/>
        <w:bottom w:val="none" w:sz="0" w:space="0" w:color="auto"/>
        <w:right w:val="none" w:sz="0" w:space="0" w:color="auto"/>
      </w:divBdr>
    </w:div>
    <w:div w:id="835728404">
      <w:bodyDiv w:val="1"/>
      <w:marLeft w:val="0"/>
      <w:marRight w:val="0"/>
      <w:marTop w:val="0"/>
      <w:marBottom w:val="0"/>
      <w:divBdr>
        <w:top w:val="none" w:sz="0" w:space="0" w:color="auto"/>
        <w:left w:val="none" w:sz="0" w:space="0" w:color="auto"/>
        <w:bottom w:val="none" w:sz="0" w:space="0" w:color="auto"/>
        <w:right w:val="none" w:sz="0" w:space="0" w:color="auto"/>
      </w:divBdr>
    </w:div>
    <w:div w:id="877663832">
      <w:bodyDiv w:val="1"/>
      <w:marLeft w:val="0"/>
      <w:marRight w:val="0"/>
      <w:marTop w:val="0"/>
      <w:marBottom w:val="0"/>
      <w:divBdr>
        <w:top w:val="none" w:sz="0" w:space="0" w:color="auto"/>
        <w:left w:val="none" w:sz="0" w:space="0" w:color="auto"/>
        <w:bottom w:val="none" w:sz="0" w:space="0" w:color="auto"/>
        <w:right w:val="none" w:sz="0" w:space="0" w:color="auto"/>
      </w:divBdr>
    </w:div>
    <w:div w:id="959923106">
      <w:bodyDiv w:val="1"/>
      <w:marLeft w:val="0"/>
      <w:marRight w:val="0"/>
      <w:marTop w:val="0"/>
      <w:marBottom w:val="0"/>
      <w:divBdr>
        <w:top w:val="none" w:sz="0" w:space="0" w:color="auto"/>
        <w:left w:val="none" w:sz="0" w:space="0" w:color="auto"/>
        <w:bottom w:val="none" w:sz="0" w:space="0" w:color="auto"/>
        <w:right w:val="none" w:sz="0" w:space="0" w:color="auto"/>
      </w:divBdr>
    </w:div>
    <w:div w:id="1011685145">
      <w:bodyDiv w:val="1"/>
      <w:marLeft w:val="0"/>
      <w:marRight w:val="0"/>
      <w:marTop w:val="0"/>
      <w:marBottom w:val="0"/>
      <w:divBdr>
        <w:top w:val="none" w:sz="0" w:space="0" w:color="auto"/>
        <w:left w:val="none" w:sz="0" w:space="0" w:color="auto"/>
        <w:bottom w:val="none" w:sz="0" w:space="0" w:color="auto"/>
        <w:right w:val="none" w:sz="0" w:space="0" w:color="auto"/>
      </w:divBdr>
    </w:div>
    <w:div w:id="1185438188">
      <w:bodyDiv w:val="1"/>
      <w:marLeft w:val="0"/>
      <w:marRight w:val="0"/>
      <w:marTop w:val="0"/>
      <w:marBottom w:val="0"/>
      <w:divBdr>
        <w:top w:val="none" w:sz="0" w:space="0" w:color="auto"/>
        <w:left w:val="none" w:sz="0" w:space="0" w:color="auto"/>
        <w:bottom w:val="none" w:sz="0" w:space="0" w:color="auto"/>
        <w:right w:val="none" w:sz="0" w:space="0" w:color="auto"/>
      </w:divBdr>
      <w:divsChild>
        <w:div w:id="164326808">
          <w:marLeft w:val="446"/>
          <w:marRight w:val="0"/>
          <w:marTop w:val="0"/>
          <w:marBottom w:val="0"/>
          <w:divBdr>
            <w:top w:val="none" w:sz="0" w:space="0" w:color="auto"/>
            <w:left w:val="none" w:sz="0" w:space="0" w:color="auto"/>
            <w:bottom w:val="none" w:sz="0" w:space="0" w:color="auto"/>
            <w:right w:val="none" w:sz="0" w:space="0" w:color="auto"/>
          </w:divBdr>
        </w:div>
        <w:div w:id="217130459">
          <w:marLeft w:val="446"/>
          <w:marRight w:val="0"/>
          <w:marTop w:val="0"/>
          <w:marBottom w:val="0"/>
          <w:divBdr>
            <w:top w:val="none" w:sz="0" w:space="0" w:color="auto"/>
            <w:left w:val="none" w:sz="0" w:space="0" w:color="auto"/>
            <w:bottom w:val="none" w:sz="0" w:space="0" w:color="auto"/>
            <w:right w:val="none" w:sz="0" w:space="0" w:color="auto"/>
          </w:divBdr>
        </w:div>
        <w:div w:id="663777373">
          <w:marLeft w:val="446"/>
          <w:marRight w:val="0"/>
          <w:marTop w:val="0"/>
          <w:marBottom w:val="0"/>
          <w:divBdr>
            <w:top w:val="none" w:sz="0" w:space="0" w:color="auto"/>
            <w:left w:val="none" w:sz="0" w:space="0" w:color="auto"/>
            <w:bottom w:val="none" w:sz="0" w:space="0" w:color="auto"/>
            <w:right w:val="none" w:sz="0" w:space="0" w:color="auto"/>
          </w:divBdr>
        </w:div>
        <w:div w:id="760033158">
          <w:marLeft w:val="446"/>
          <w:marRight w:val="0"/>
          <w:marTop w:val="0"/>
          <w:marBottom w:val="0"/>
          <w:divBdr>
            <w:top w:val="none" w:sz="0" w:space="0" w:color="auto"/>
            <w:left w:val="none" w:sz="0" w:space="0" w:color="auto"/>
            <w:bottom w:val="none" w:sz="0" w:space="0" w:color="auto"/>
            <w:right w:val="none" w:sz="0" w:space="0" w:color="auto"/>
          </w:divBdr>
        </w:div>
        <w:div w:id="813641216">
          <w:marLeft w:val="446"/>
          <w:marRight w:val="0"/>
          <w:marTop w:val="0"/>
          <w:marBottom w:val="0"/>
          <w:divBdr>
            <w:top w:val="none" w:sz="0" w:space="0" w:color="auto"/>
            <w:left w:val="none" w:sz="0" w:space="0" w:color="auto"/>
            <w:bottom w:val="none" w:sz="0" w:space="0" w:color="auto"/>
            <w:right w:val="none" w:sz="0" w:space="0" w:color="auto"/>
          </w:divBdr>
        </w:div>
        <w:div w:id="1804730916">
          <w:marLeft w:val="446"/>
          <w:marRight w:val="0"/>
          <w:marTop w:val="0"/>
          <w:marBottom w:val="0"/>
          <w:divBdr>
            <w:top w:val="none" w:sz="0" w:space="0" w:color="auto"/>
            <w:left w:val="none" w:sz="0" w:space="0" w:color="auto"/>
            <w:bottom w:val="none" w:sz="0" w:space="0" w:color="auto"/>
            <w:right w:val="none" w:sz="0" w:space="0" w:color="auto"/>
          </w:divBdr>
        </w:div>
        <w:div w:id="1843160593">
          <w:marLeft w:val="446"/>
          <w:marRight w:val="0"/>
          <w:marTop w:val="0"/>
          <w:marBottom w:val="0"/>
          <w:divBdr>
            <w:top w:val="none" w:sz="0" w:space="0" w:color="auto"/>
            <w:left w:val="none" w:sz="0" w:space="0" w:color="auto"/>
            <w:bottom w:val="none" w:sz="0" w:space="0" w:color="auto"/>
            <w:right w:val="none" w:sz="0" w:space="0" w:color="auto"/>
          </w:divBdr>
        </w:div>
        <w:div w:id="1962807205">
          <w:marLeft w:val="446"/>
          <w:marRight w:val="0"/>
          <w:marTop w:val="0"/>
          <w:marBottom w:val="0"/>
          <w:divBdr>
            <w:top w:val="none" w:sz="0" w:space="0" w:color="auto"/>
            <w:left w:val="none" w:sz="0" w:space="0" w:color="auto"/>
            <w:bottom w:val="none" w:sz="0" w:space="0" w:color="auto"/>
            <w:right w:val="none" w:sz="0" w:space="0" w:color="auto"/>
          </w:divBdr>
        </w:div>
      </w:divsChild>
    </w:div>
    <w:div w:id="1296640587">
      <w:bodyDiv w:val="1"/>
      <w:marLeft w:val="0"/>
      <w:marRight w:val="0"/>
      <w:marTop w:val="0"/>
      <w:marBottom w:val="0"/>
      <w:divBdr>
        <w:top w:val="none" w:sz="0" w:space="0" w:color="auto"/>
        <w:left w:val="none" w:sz="0" w:space="0" w:color="auto"/>
        <w:bottom w:val="none" w:sz="0" w:space="0" w:color="auto"/>
        <w:right w:val="none" w:sz="0" w:space="0" w:color="auto"/>
      </w:divBdr>
    </w:div>
    <w:div w:id="1369913864">
      <w:bodyDiv w:val="1"/>
      <w:marLeft w:val="0"/>
      <w:marRight w:val="0"/>
      <w:marTop w:val="0"/>
      <w:marBottom w:val="0"/>
      <w:divBdr>
        <w:top w:val="none" w:sz="0" w:space="0" w:color="auto"/>
        <w:left w:val="none" w:sz="0" w:space="0" w:color="auto"/>
        <w:bottom w:val="none" w:sz="0" w:space="0" w:color="auto"/>
        <w:right w:val="none" w:sz="0" w:space="0" w:color="auto"/>
      </w:divBdr>
    </w:div>
    <w:div w:id="1370032943">
      <w:bodyDiv w:val="1"/>
      <w:marLeft w:val="0"/>
      <w:marRight w:val="0"/>
      <w:marTop w:val="0"/>
      <w:marBottom w:val="0"/>
      <w:divBdr>
        <w:top w:val="none" w:sz="0" w:space="0" w:color="auto"/>
        <w:left w:val="none" w:sz="0" w:space="0" w:color="auto"/>
        <w:bottom w:val="none" w:sz="0" w:space="0" w:color="auto"/>
        <w:right w:val="none" w:sz="0" w:space="0" w:color="auto"/>
      </w:divBdr>
    </w:div>
    <w:div w:id="1484463438">
      <w:bodyDiv w:val="1"/>
      <w:marLeft w:val="0"/>
      <w:marRight w:val="0"/>
      <w:marTop w:val="0"/>
      <w:marBottom w:val="0"/>
      <w:divBdr>
        <w:top w:val="none" w:sz="0" w:space="0" w:color="auto"/>
        <w:left w:val="none" w:sz="0" w:space="0" w:color="auto"/>
        <w:bottom w:val="none" w:sz="0" w:space="0" w:color="auto"/>
        <w:right w:val="none" w:sz="0" w:space="0" w:color="auto"/>
      </w:divBdr>
    </w:div>
    <w:div w:id="1566909932">
      <w:bodyDiv w:val="1"/>
      <w:marLeft w:val="0"/>
      <w:marRight w:val="0"/>
      <w:marTop w:val="0"/>
      <w:marBottom w:val="0"/>
      <w:divBdr>
        <w:top w:val="none" w:sz="0" w:space="0" w:color="auto"/>
        <w:left w:val="none" w:sz="0" w:space="0" w:color="auto"/>
        <w:bottom w:val="none" w:sz="0" w:space="0" w:color="auto"/>
        <w:right w:val="none" w:sz="0" w:space="0" w:color="auto"/>
      </w:divBdr>
    </w:div>
    <w:div w:id="1578175465">
      <w:bodyDiv w:val="1"/>
      <w:marLeft w:val="0"/>
      <w:marRight w:val="0"/>
      <w:marTop w:val="0"/>
      <w:marBottom w:val="0"/>
      <w:divBdr>
        <w:top w:val="none" w:sz="0" w:space="0" w:color="auto"/>
        <w:left w:val="none" w:sz="0" w:space="0" w:color="auto"/>
        <w:bottom w:val="none" w:sz="0" w:space="0" w:color="auto"/>
        <w:right w:val="none" w:sz="0" w:space="0" w:color="auto"/>
      </w:divBdr>
    </w:div>
    <w:div w:id="1629585307">
      <w:bodyDiv w:val="1"/>
      <w:marLeft w:val="0"/>
      <w:marRight w:val="0"/>
      <w:marTop w:val="0"/>
      <w:marBottom w:val="0"/>
      <w:divBdr>
        <w:top w:val="none" w:sz="0" w:space="0" w:color="auto"/>
        <w:left w:val="none" w:sz="0" w:space="0" w:color="auto"/>
        <w:bottom w:val="none" w:sz="0" w:space="0" w:color="auto"/>
        <w:right w:val="none" w:sz="0" w:space="0" w:color="auto"/>
      </w:divBdr>
    </w:div>
    <w:div w:id="1676152621">
      <w:bodyDiv w:val="1"/>
      <w:marLeft w:val="0"/>
      <w:marRight w:val="0"/>
      <w:marTop w:val="0"/>
      <w:marBottom w:val="0"/>
      <w:divBdr>
        <w:top w:val="none" w:sz="0" w:space="0" w:color="auto"/>
        <w:left w:val="none" w:sz="0" w:space="0" w:color="auto"/>
        <w:bottom w:val="none" w:sz="0" w:space="0" w:color="auto"/>
        <w:right w:val="none" w:sz="0" w:space="0" w:color="auto"/>
      </w:divBdr>
    </w:div>
    <w:div w:id="1717006554">
      <w:bodyDiv w:val="1"/>
      <w:marLeft w:val="0"/>
      <w:marRight w:val="0"/>
      <w:marTop w:val="0"/>
      <w:marBottom w:val="0"/>
      <w:divBdr>
        <w:top w:val="none" w:sz="0" w:space="0" w:color="auto"/>
        <w:left w:val="none" w:sz="0" w:space="0" w:color="auto"/>
        <w:bottom w:val="none" w:sz="0" w:space="0" w:color="auto"/>
        <w:right w:val="none" w:sz="0" w:space="0" w:color="auto"/>
      </w:divBdr>
    </w:div>
    <w:div w:id="1741902084">
      <w:bodyDiv w:val="1"/>
      <w:marLeft w:val="0"/>
      <w:marRight w:val="0"/>
      <w:marTop w:val="0"/>
      <w:marBottom w:val="0"/>
      <w:divBdr>
        <w:top w:val="none" w:sz="0" w:space="0" w:color="auto"/>
        <w:left w:val="none" w:sz="0" w:space="0" w:color="auto"/>
        <w:bottom w:val="none" w:sz="0" w:space="0" w:color="auto"/>
        <w:right w:val="none" w:sz="0" w:space="0" w:color="auto"/>
      </w:divBdr>
    </w:div>
    <w:div w:id="1779442478">
      <w:bodyDiv w:val="1"/>
      <w:marLeft w:val="0"/>
      <w:marRight w:val="0"/>
      <w:marTop w:val="0"/>
      <w:marBottom w:val="0"/>
      <w:divBdr>
        <w:top w:val="none" w:sz="0" w:space="0" w:color="auto"/>
        <w:left w:val="none" w:sz="0" w:space="0" w:color="auto"/>
        <w:bottom w:val="none" w:sz="0" w:space="0" w:color="auto"/>
        <w:right w:val="none" w:sz="0" w:space="0" w:color="auto"/>
      </w:divBdr>
    </w:div>
    <w:div w:id="1931739912">
      <w:bodyDiv w:val="1"/>
      <w:marLeft w:val="0"/>
      <w:marRight w:val="0"/>
      <w:marTop w:val="0"/>
      <w:marBottom w:val="0"/>
      <w:divBdr>
        <w:top w:val="none" w:sz="0" w:space="0" w:color="auto"/>
        <w:left w:val="none" w:sz="0" w:space="0" w:color="auto"/>
        <w:bottom w:val="none" w:sz="0" w:space="0" w:color="auto"/>
        <w:right w:val="none" w:sz="0" w:space="0" w:color="auto"/>
      </w:divBdr>
    </w:div>
    <w:div w:id="2043556838">
      <w:bodyDiv w:val="1"/>
      <w:marLeft w:val="0"/>
      <w:marRight w:val="0"/>
      <w:marTop w:val="0"/>
      <w:marBottom w:val="0"/>
      <w:divBdr>
        <w:top w:val="none" w:sz="0" w:space="0" w:color="auto"/>
        <w:left w:val="none" w:sz="0" w:space="0" w:color="auto"/>
        <w:bottom w:val="none" w:sz="0" w:space="0" w:color="auto"/>
        <w:right w:val="none" w:sz="0" w:space="0" w:color="auto"/>
      </w:divBdr>
    </w:div>
    <w:div w:id="2060784981">
      <w:bodyDiv w:val="1"/>
      <w:marLeft w:val="0"/>
      <w:marRight w:val="0"/>
      <w:marTop w:val="0"/>
      <w:marBottom w:val="0"/>
      <w:divBdr>
        <w:top w:val="none" w:sz="0" w:space="0" w:color="auto"/>
        <w:left w:val="none" w:sz="0" w:space="0" w:color="auto"/>
        <w:bottom w:val="none" w:sz="0" w:space="0" w:color="auto"/>
        <w:right w:val="none" w:sz="0" w:space="0" w:color="auto"/>
      </w:divBdr>
    </w:div>
    <w:div w:id="2106799428">
      <w:bodyDiv w:val="1"/>
      <w:marLeft w:val="0"/>
      <w:marRight w:val="0"/>
      <w:marTop w:val="0"/>
      <w:marBottom w:val="0"/>
      <w:divBdr>
        <w:top w:val="none" w:sz="0" w:space="0" w:color="auto"/>
        <w:left w:val="none" w:sz="0" w:space="0" w:color="auto"/>
        <w:bottom w:val="none" w:sz="0" w:space="0" w:color="auto"/>
        <w:right w:val="none" w:sz="0" w:space="0" w:color="auto"/>
      </w:divBdr>
      <w:divsChild>
        <w:div w:id="770051470">
          <w:marLeft w:val="0"/>
          <w:marRight w:val="0"/>
          <w:marTop w:val="0"/>
          <w:marBottom w:val="0"/>
          <w:divBdr>
            <w:top w:val="none" w:sz="0" w:space="0" w:color="auto"/>
            <w:left w:val="none" w:sz="0" w:space="0" w:color="auto"/>
            <w:bottom w:val="single" w:sz="18" w:space="0" w:color="E4E4E4"/>
            <w:right w:val="none" w:sz="0" w:space="0" w:color="auto"/>
          </w:divBdr>
          <w:divsChild>
            <w:div w:id="741415011">
              <w:marLeft w:val="0"/>
              <w:marRight w:val="0"/>
              <w:marTop w:val="0"/>
              <w:marBottom w:val="0"/>
              <w:divBdr>
                <w:top w:val="none" w:sz="0" w:space="0" w:color="auto"/>
                <w:left w:val="none" w:sz="0" w:space="0" w:color="auto"/>
                <w:bottom w:val="none" w:sz="0" w:space="0" w:color="auto"/>
                <w:right w:val="none" w:sz="0" w:space="0" w:color="auto"/>
              </w:divBdr>
              <w:divsChild>
                <w:div w:id="244266949">
                  <w:marLeft w:val="0"/>
                  <w:marRight w:val="0"/>
                  <w:marTop w:val="0"/>
                  <w:marBottom w:val="0"/>
                  <w:divBdr>
                    <w:top w:val="none" w:sz="0" w:space="0" w:color="auto"/>
                    <w:left w:val="none" w:sz="0" w:space="0" w:color="auto"/>
                    <w:bottom w:val="none" w:sz="0" w:space="0" w:color="auto"/>
                    <w:right w:val="none" w:sz="0" w:space="0" w:color="auto"/>
                  </w:divBdr>
                  <w:divsChild>
                    <w:div w:id="16777376">
                      <w:marLeft w:val="0"/>
                      <w:marRight w:val="0"/>
                      <w:marTop w:val="0"/>
                      <w:marBottom w:val="0"/>
                      <w:divBdr>
                        <w:top w:val="none" w:sz="0" w:space="0" w:color="auto"/>
                        <w:left w:val="none" w:sz="0" w:space="0" w:color="auto"/>
                        <w:bottom w:val="none" w:sz="0" w:space="0" w:color="auto"/>
                        <w:right w:val="none" w:sz="0" w:space="0" w:color="auto"/>
                      </w:divBdr>
                      <w:divsChild>
                        <w:div w:id="16854017">
                          <w:marLeft w:val="0"/>
                          <w:marRight w:val="0"/>
                          <w:marTop w:val="0"/>
                          <w:marBottom w:val="0"/>
                          <w:divBdr>
                            <w:top w:val="none" w:sz="0" w:space="0" w:color="auto"/>
                            <w:left w:val="none" w:sz="0" w:space="0" w:color="auto"/>
                            <w:bottom w:val="none" w:sz="0" w:space="0" w:color="auto"/>
                            <w:right w:val="none" w:sz="0" w:space="0" w:color="auto"/>
                          </w:divBdr>
                        </w:div>
                        <w:div w:id="86966499">
                          <w:marLeft w:val="0"/>
                          <w:marRight w:val="0"/>
                          <w:marTop w:val="0"/>
                          <w:marBottom w:val="0"/>
                          <w:divBdr>
                            <w:top w:val="none" w:sz="0" w:space="0" w:color="auto"/>
                            <w:left w:val="none" w:sz="0" w:space="0" w:color="auto"/>
                            <w:bottom w:val="none" w:sz="0" w:space="0" w:color="auto"/>
                            <w:right w:val="none" w:sz="0" w:space="0" w:color="auto"/>
                          </w:divBdr>
                        </w:div>
                        <w:div w:id="243105249">
                          <w:marLeft w:val="0"/>
                          <w:marRight w:val="0"/>
                          <w:marTop w:val="0"/>
                          <w:marBottom w:val="0"/>
                          <w:divBdr>
                            <w:top w:val="none" w:sz="0" w:space="0" w:color="auto"/>
                            <w:left w:val="none" w:sz="0" w:space="0" w:color="auto"/>
                            <w:bottom w:val="none" w:sz="0" w:space="0" w:color="auto"/>
                            <w:right w:val="none" w:sz="0" w:space="0" w:color="auto"/>
                          </w:divBdr>
                        </w:div>
                        <w:div w:id="325205983">
                          <w:marLeft w:val="0"/>
                          <w:marRight w:val="0"/>
                          <w:marTop w:val="0"/>
                          <w:marBottom w:val="0"/>
                          <w:divBdr>
                            <w:top w:val="none" w:sz="0" w:space="0" w:color="auto"/>
                            <w:left w:val="none" w:sz="0" w:space="0" w:color="auto"/>
                            <w:bottom w:val="none" w:sz="0" w:space="0" w:color="auto"/>
                            <w:right w:val="none" w:sz="0" w:space="0" w:color="auto"/>
                          </w:divBdr>
                        </w:div>
                        <w:div w:id="423302471">
                          <w:marLeft w:val="0"/>
                          <w:marRight w:val="0"/>
                          <w:marTop w:val="0"/>
                          <w:marBottom w:val="0"/>
                          <w:divBdr>
                            <w:top w:val="none" w:sz="0" w:space="0" w:color="auto"/>
                            <w:left w:val="none" w:sz="0" w:space="0" w:color="auto"/>
                            <w:bottom w:val="none" w:sz="0" w:space="0" w:color="auto"/>
                            <w:right w:val="none" w:sz="0" w:space="0" w:color="auto"/>
                          </w:divBdr>
                        </w:div>
                        <w:div w:id="930504967">
                          <w:marLeft w:val="0"/>
                          <w:marRight w:val="0"/>
                          <w:marTop w:val="0"/>
                          <w:marBottom w:val="0"/>
                          <w:divBdr>
                            <w:top w:val="none" w:sz="0" w:space="0" w:color="auto"/>
                            <w:left w:val="none" w:sz="0" w:space="0" w:color="auto"/>
                            <w:bottom w:val="none" w:sz="0" w:space="0" w:color="auto"/>
                            <w:right w:val="none" w:sz="0" w:space="0" w:color="auto"/>
                          </w:divBdr>
                        </w:div>
                        <w:div w:id="1111318266">
                          <w:marLeft w:val="0"/>
                          <w:marRight w:val="0"/>
                          <w:marTop w:val="0"/>
                          <w:marBottom w:val="0"/>
                          <w:divBdr>
                            <w:top w:val="none" w:sz="0" w:space="0" w:color="auto"/>
                            <w:left w:val="none" w:sz="0" w:space="0" w:color="auto"/>
                            <w:bottom w:val="none" w:sz="0" w:space="0" w:color="auto"/>
                            <w:right w:val="none" w:sz="0" w:space="0" w:color="auto"/>
                          </w:divBdr>
                        </w:div>
                        <w:div w:id="1127696923">
                          <w:marLeft w:val="0"/>
                          <w:marRight w:val="0"/>
                          <w:marTop w:val="0"/>
                          <w:marBottom w:val="0"/>
                          <w:divBdr>
                            <w:top w:val="none" w:sz="0" w:space="0" w:color="auto"/>
                            <w:left w:val="none" w:sz="0" w:space="0" w:color="auto"/>
                            <w:bottom w:val="none" w:sz="0" w:space="0" w:color="auto"/>
                            <w:right w:val="none" w:sz="0" w:space="0" w:color="auto"/>
                          </w:divBdr>
                        </w:div>
                        <w:div w:id="1278411319">
                          <w:marLeft w:val="0"/>
                          <w:marRight w:val="0"/>
                          <w:marTop w:val="0"/>
                          <w:marBottom w:val="0"/>
                          <w:divBdr>
                            <w:top w:val="none" w:sz="0" w:space="0" w:color="auto"/>
                            <w:left w:val="none" w:sz="0" w:space="0" w:color="auto"/>
                            <w:bottom w:val="none" w:sz="0" w:space="0" w:color="auto"/>
                            <w:right w:val="none" w:sz="0" w:space="0" w:color="auto"/>
                          </w:divBdr>
                        </w:div>
                        <w:div w:id="1773428302">
                          <w:marLeft w:val="0"/>
                          <w:marRight w:val="0"/>
                          <w:marTop w:val="0"/>
                          <w:marBottom w:val="0"/>
                          <w:divBdr>
                            <w:top w:val="none" w:sz="0" w:space="0" w:color="auto"/>
                            <w:left w:val="none" w:sz="0" w:space="0" w:color="auto"/>
                            <w:bottom w:val="none" w:sz="0" w:space="0" w:color="auto"/>
                            <w:right w:val="none" w:sz="0" w:space="0" w:color="auto"/>
                          </w:divBdr>
                        </w:div>
                        <w:div w:id="18744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421376">
          <w:marLeft w:val="0"/>
          <w:marRight w:val="0"/>
          <w:marTop w:val="0"/>
          <w:marBottom w:val="0"/>
          <w:divBdr>
            <w:top w:val="none" w:sz="0" w:space="0" w:color="auto"/>
            <w:left w:val="none" w:sz="0" w:space="0" w:color="auto"/>
            <w:bottom w:val="single" w:sz="18" w:space="0" w:color="E4E4E4"/>
            <w:right w:val="none" w:sz="0" w:space="0" w:color="auto"/>
          </w:divBdr>
          <w:divsChild>
            <w:div w:id="1634291209">
              <w:marLeft w:val="0"/>
              <w:marRight w:val="0"/>
              <w:marTop w:val="0"/>
              <w:marBottom w:val="0"/>
              <w:divBdr>
                <w:top w:val="none" w:sz="0" w:space="0" w:color="auto"/>
                <w:left w:val="none" w:sz="0" w:space="0" w:color="auto"/>
                <w:bottom w:val="none" w:sz="0" w:space="0" w:color="auto"/>
                <w:right w:val="none" w:sz="0" w:space="0" w:color="auto"/>
              </w:divBdr>
              <w:divsChild>
                <w:div w:id="4869171">
                  <w:marLeft w:val="0"/>
                  <w:marRight w:val="0"/>
                  <w:marTop w:val="0"/>
                  <w:marBottom w:val="0"/>
                  <w:divBdr>
                    <w:top w:val="none" w:sz="0" w:space="0" w:color="auto"/>
                    <w:left w:val="none" w:sz="0" w:space="0" w:color="auto"/>
                    <w:bottom w:val="none" w:sz="0" w:space="0" w:color="auto"/>
                    <w:right w:val="none" w:sz="0" w:space="0" w:color="auto"/>
                  </w:divBdr>
                  <w:divsChild>
                    <w:div w:id="1973317987">
                      <w:marLeft w:val="0"/>
                      <w:marRight w:val="0"/>
                      <w:marTop w:val="0"/>
                      <w:marBottom w:val="0"/>
                      <w:divBdr>
                        <w:top w:val="none" w:sz="0" w:space="0" w:color="auto"/>
                        <w:left w:val="none" w:sz="0" w:space="0" w:color="auto"/>
                        <w:bottom w:val="none" w:sz="0" w:space="0" w:color="auto"/>
                        <w:right w:val="none" w:sz="0" w:space="0" w:color="auto"/>
                      </w:divBdr>
                      <w:divsChild>
                        <w:div w:id="78408753">
                          <w:marLeft w:val="0"/>
                          <w:marRight w:val="0"/>
                          <w:marTop w:val="0"/>
                          <w:marBottom w:val="0"/>
                          <w:divBdr>
                            <w:top w:val="none" w:sz="0" w:space="0" w:color="auto"/>
                            <w:left w:val="none" w:sz="0" w:space="0" w:color="auto"/>
                            <w:bottom w:val="none" w:sz="0" w:space="0" w:color="auto"/>
                            <w:right w:val="none" w:sz="0" w:space="0" w:color="auto"/>
                          </w:divBdr>
                        </w:div>
                        <w:div w:id="181094147">
                          <w:marLeft w:val="0"/>
                          <w:marRight w:val="0"/>
                          <w:marTop w:val="0"/>
                          <w:marBottom w:val="0"/>
                          <w:divBdr>
                            <w:top w:val="none" w:sz="0" w:space="0" w:color="auto"/>
                            <w:left w:val="none" w:sz="0" w:space="0" w:color="auto"/>
                            <w:bottom w:val="none" w:sz="0" w:space="0" w:color="auto"/>
                            <w:right w:val="none" w:sz="0" w:space="0" w:color="auto"/>
                          </w:divBdr>
                        </w:div>
                        <w:div w:id="227496036">
                          <w:marLeft w:val="0"/>
                          <w:marRight w:val="0"/>
                          <w:marTop w:val="0"/>
                          <w:marBottom w:val="0"/>
                          <w:divBdr>
                            <w:top w:val="none" w:sz="0" w:space="0" w:color="auto"/>
                            <w:left w:val="none" w:sz="0" w:space="0" w:color="auto"/>
                            <w:bottom w:val="none" w:sz="0" w:space="0" w:color="auto"/>
                            <w:right w:val="none" w:sz="0" w:space="0" w:color="auto"/>
                          </w:divBdr>
                        </w:div>
                        <w:div w:id="237985163">
                          <w:marLeft w:val="0"/>
                          <w:marRight w:val="0"/>
                          <w:marTop w:val="0"/>
                          <w:marBottom w:val="0"/>
                          <w:divBdr>
                            <w:top w:val="none" w:sz="0" w:space="0" w:color="auto"/>
                            <w:left w:val="none" w:sz="0" w:space="0" w:color="auto"/>
                            <w:bottom w:val="none" w:sz="0" w:space="0" w:color="auto"/>
                            <w:right w:val="none" w:sz="0" w:space="0" w:color="auto"/>
                          </w:divBdr>
                        </w:div>
                        <w:div w:id="449857147">
                          <w:marLeft w:val="0"/>
                          <w:marRight w:val="0"/>
                          <w:marTop w:val="0"/>
                          <w:marBottom w:val="0"/>
                          <w:divBdr>
                            <w:top w:val="none" w:sz="0" w:space="0" w:color="auto"/>
                            <w:left w:val="none" w:sz="0" w:space="0" w:color="auto"/>
                            <w:bottom w:val="none" w:sz="0" w:space="0" w:color="auto"/>
                            <w:right w:val="none" w:sz="0" w:space="0" w:color="auto"/>
                          </w:divBdr>
                        </w:div>
                        <w:div w:id="626087461">
                          <w:marLeft w:val="0"/>
                          <w:marRight w:val="0"/>
                          <w:marTop w:val="0"/>
                          <w:marBottom w:val="0"/>
                          <w:divBdr>
                            <w:top w:val="none" w:sz="0" w:space="0" w:color="auto"/>
                            <w:left w:val="none" w:sz="0" w:space="0" w:color="auto"/>
                            <w:bottom w:val="none" w:sz="0" w:space="0" w:color="auto"/>
                            <w:right w:val="none" w:sz="0" w:space="0" w:color="auto"/>
                          </w:divBdr>
                        </w:div>
                        <w:div w:id="661354722">
                          <w:marLeft w:val="0"/>
                          <w:marRight w:val="0"/>
                          <w:marTop w:val="0"/>
                          <w:marBottom w:val="0"/>
                          <w:divBdr>
                            <w:top w:val="none" w:sz="0" w:space="0" w:color="auto"/>
                            <w:left w:val="none" w:sz="0" w:space="0" w:color="auto"/>
                            <w:bottom w:val="none" w:sz="0" w:space="0" w:color="auto"/>
                            <w:right w:val="none" w:sz="0" w:space="0" w:color="auto"/>
                          </w:divBdr>
                        </w:div>
                        <w:div w:id="662466360">
                          <w:marLeft w:val="0"/>
                          <w:marRight w:val="0"/>
                          <w:marTop w:val="0"/>
                          <w:marBottom w:val="0"/>
                          <w:divBdr>
                            <w:top w:val="none" w:sz="0" w:space="0" w:color="auto"/>
                            <w:left w:val="none" w:sz="0" w:space="0" w:color="auto"/>
                            <w:bottom w:val="none" w:sz="0" w:space="0" w:color="auto"/>
                            <w:right w:val="none" w:sz="0" w:space="0" w:color="auto"/>
                          </w:divBdr>
                        </w:div>
                        <w:div w:id="707220111">
                          <w:marLeft w:val="0"/>
                          <w:marRight w:val="0"/>
                          <w:marTop w:val="0"/>
                          <w:marBottom w:val="0"/>
                          <w:divBdr>
                            <w:top w:val="none" w:sz="0" w:space="0" w:color="auto"/>
                            <w:left w:val="none" w:sz="0" w:space="0" w:color="auto"/>
                            <w:bottom w:val="none" w:sz="0" w:space="0" w:color="auto"/>
                            <w:right w:val="none" w:sz="0" w:space="0" w:color="auto"/>
                          </w:divBdr>
                        </w:div>
                        <w:div w:id="722290405">
                          <w:marLeft w:val="0"/>
                          <w:marRight w:val="0"/>
                          <w:marTop w:val="0"/>
                          <w:marBottom w:val="0"/>
                          <w:divBdr>
                            <w:top w:val="none" w:sz="0" w:space="0" w:color="auto"/>
                            <w:left w:val="none" w:sz="0" w:space="0" w:color="auto"/>
                            <w:bottom w:val="none" w:sz="0" w:space="0" w:color="auto"/>
                            <w:right w:val="none" w:sz="0" w:space="0" w:color="auto"/>
                          </w:divBdr>
                        </w:div>
                        <w:div w:id="837892215">
                          <w:marLeft w:val="0"/>
                          <w:marRight w:val="0"/>
                          <w:marTop w:val="0"/>
                          <w:marBottom w:val="0"/>
                          <w:divBdr>
                            <w:top w:val="none" w:sz="0" w:space="0" w:color="auto"/>
                            <w:left w:val="none" w:sz="0" w:space="0" w:color="auto"/>
                            <w:bottom w:val="none" w:sz="0" w:space="0" w:color="auto"/>
                            <w:right w:val="none" w:sz="0" w:space="0" w:color="auto"/>
                          </w:divBdr>
                        </w:div>
                        <w:div w:id="991376374">
                          <w:marLeft w:val="0"/>
                          <w:marRight w:val="0"/>
                          <w:marTop w:val="0"/>
                          <w:marBottom w:val="0"/>
                          <w:divBdr>
                            <w:top w:val="none" w:sz="0" w:space="0" w:color="auto"/>
                            <w:left w:val="none" w:sz="0" w:space="0" w:color="auto"/>
                            <w:bottom w:val="none" w:sz="0" w:space="0" w:color="auto"/>
                            <w:right w:val="none" w:sz="0" w:space="0" w:color="auto"/>
                          </w:divBdr>
                        </w:div>
                        <w:div w:id="1038311643">
                          <w:marLeft w:val="0"/>
                          <w:marRight w:val="0"/>
                          <w:marTop w:val="0"/>
                          <w:marBottom w:val="0"/>
                          <w:divBdr>
                            <w:top w:val="none" w:sz="0" w:space="0" w:color="auto"/>
                            <w:left w:val="none" w:sz="0" w:space="0" w:color="auto"/>
                            <w:bottom w:val="none" w:sz="0" w:space="0" w:color="auto"/>
                            <w:right w:val="none" w:sz="0" w:space="0" w:color="auto"/>
                          </w:divBdr>
                        </w:div>
                        <w:div w:id="1091971702">
                          <w:marLeft w:val="0"/>
                          <w:marRight w:val="0"/>
                          <w:marTop w:val="0"/>
                          <w:marBottom w:val="0"/>
                          <w:divBdr>
                            <w:top w:val="none" w:sz="0" w:space="0" w:color="auto"/>
                            <w:left w:val="none" w:sz="0" w:space="0" w:color="auto"/>
                            <w:bottom w:val="none" w:sz="0" w:space="0" w:color="auto"/>
                            <w:right w:val="none" w:sz="0" w:space="0" w:color="auto"/>
                          </w:divBdr>
                        </w:div>
                        <w:div w:id="1160275207">
                          <w:marLeft w:val="0"/>
                          <w:marRight w:val="0"/>
                          <w:marTop w:val="0"/>
                          <w:marBottom w:val="0"/>
                          <w:divBdr>
                            <w:top w:val="none" w:sz="0" w:space="0" w:color="auto"/>
                            <w:left w:val="none" w:sz="0" w:space="0" w:color="auto"/>
                            <w:bottom w:val="none" w:sz="0" w:space="0" w:color="auto"/>
                            <w:right w:val="none" w:sz="0" w:space="0" w:color="auto"/>
                          </w:divBdr>
                        </w:div>
                        <w:div w:id="1170220345">
                          <w:marLeft w:val="0"/>
                          <w:marRight w:val="0"/>
                          <w:marTop w:val="0"/>
                          <w:marBottom w:val="0"/>
                          <w:divBdr>
                            <w:top w:val="none" w:sz="0" w:space="0" w:color="auto"/>
                            <w:left w:val="none" w:sz="0" w:space="0" w:color="auto"/>
                            <w:bottom w:val="none" w:sz="0" w:space="0" w:color="auto"/>
                            <w:right w:val="none" w:sz="0" w:space="0" w:color="auto"/>
                          </w:divBdr>
                        </w:div>
                        <w:div w:id="1186677204">
                          <w:marLeft w:val="0"/>
                          <w:marRight w:val="0"/>
                          <w:marTop w:val="0"/>
                          <w:marBottom w:val="0"/>
                          <w:divBdr>
                            <w:top w:val="none" w:sz="0" w:space="0" w:color="auto"/>
                            <w:left w:val="none" w:sz="0" w:space="0" w:color="auto"/>
                            <w:bottom w:val="none" w:sz="0" w:space="0" w:color="auto"/>
                            <w:right w:val="none" w:sz="0" w:space="0" w:color="auto"/>
                          </w:divBdr>
                        </w:div>
                        <w:div w:id="1207713582">
                          <w:marLeft w:val="0"/>
                          <w:marRight w:val="0"/>
                          <w:marTop w:val="0"/>
                          <w:marBottom w:val="0"/>
                          <w:divBdr>
                            <w:top w:val="none" w:sz="0" w:space="0" w:color="auto"/>
                            <w:left w:val="none" w:sz="0" w:space="0" w:color="auto"/>
                            <w:bottom w:val="none" w:sz="0" w:space="0" w:color="auto"/>
                            <w:right w:val="none" w:sz="0" w:space="0" w:color="auto"/>
                          </w:divBdr>
                        </w:div>
                        <w:div w:id="1240486771">
                          <w:marLeft w:val="0"/>
                          <w:marRight w:val="0"/>
                          <w:marTop w:val="0"/>
                          <w:marBottom w:val="0"/>
                          <w:divBdr>
                            <w:top w:val="none" w:sz="0" w:space="0" w:color="auto"/>
                            <w:left w:val="none" w:sz="0" w:space="0" w:color="auto"/>
                            <w:bottom w:val="none" w:sz="0" w:space="0" w:color="auto"/>
                            <w:right w:val="none" w:sz="0" w:space="0" w:color="auto"/>
                          </w:divBdr>
                        </w:div>
                        <w:div w:id="1244218704">
                          <w:marLeft w:val="0"/>
                          <w:marRight w:val="0"/>
                          <w:marTop w:val="0"/>
                          <w:marBottom w:val="0"/>
                          <w:divBdr>
                            <w:top w:val="none" w:sz="0" w:space="0" w:color="auto"/>
                            <w:left w:val="none" w:sz="0" w:space="0" w:color="auto"/>
                            <w:bottom w:val="none" w:sz="0" w:space="0" w:color="auto"/>
                            <w:right w:val="none" w:sz="0" w:space="0" w:color="auto"/>
                          </w:divBdr>
                        </w:div>
                        <w:div w:id="1278638415">
                          <w:marLeft w:val="0"/>
                          <w:marRight w:val="0"/>
                          <w:marTop w:val="0"/>
                          <w:marBottom w:val="0"/>
                          <w:divBdr>
                            <w:top w:val="none" w:sz="0" w:space="0" w:color="auto"/>
                            <w:left w:val="none" w:sz="0" w:space="0" w:color="auto"/>
                            <w:bottom w:val="none" w:sz="0" w:space="0" w:color="auto"/>
                            <w:right w:val="none" w:sz="0" w:space="0" w:color="auto"/>
                          </w:divBdr>
                        </w:div>
                        <w:div w:id="1316422027">
                          <w:marLeft w:val="0"/>
                          <w:marRight w:val="0"/>
                          <w:marTop w:val="0"/>
                          <w:marBottom w:val="0"/>
                          <w:divBdr>
                            <w:top w:val="none" w:sz="0" w:space="0" w:color="auto"/>
                            <w:left w:val="none" w:sz="0" w:space="0" w:color="auto"/>
                            <w:bottom w:val="none" w:sz="0" w:space="0" w:color="auto"/>
                            <w:right w:val="none" w:sz="0" w:space="0" w:color="auto"/>
                          </w:divBdr>
                        </w:div>
                        <w:div w:id="1379206166">
                          <w:marLeft w:val="0"/>
                          <w:marRight w:val="0"/>
                          <w:marTop w:val="0"/>
                          <w:marBottom w:val="0"/>
                          <w:divBdr>
                            <w:top w:val="none" w:sz="0" w:space="0" w:color="auto"/>
                            <w:left w:val="none" w:sz="0" w:space="0" w:color="auto"/>
                            <w:bottom w:val="none" w:sz="0" w:space="0" w:color="auto"/>
                            <w:right w:val="none" w:sz="0" w:space="0" w:color="auto"/>
                          </w:divBdr>
                        </w:div>
                        <w:div w:id="1417170132">
                          <w:marLeft w:val="0"/>
                          <w:marRight w:val="0"/>
                          <w:marTop w:val="0"/>
                          <w:marBottom w:val="0"/>
                          <w:divBdr>
                            <w:top w:val="none" w:sz="0" w:space="0" w:color="auto"/>
                            <w:left w:val="none" w:sz="0" w:space="0" w:color="auto"/>
                            <w:bottom w:val="none" w:sz="0" w:space="0" w:color="auto"/>
                            <w:right w:val="none" w:sz="0" w:space="0" w:color="auto"/>
                          </w:divBdr>
                        </w:div>
                        <w:div w:id="1429043493">
                          <w:marLeft w:val="0"/>
                          <w:marRight w:val="0"/>
                          <w:marTop w:val="0"/>
                          <w:marBottom w:val="0"/>
                          <w:divBdr>
                            <w:top w:val="none" w:sz="0" w:space="0" w:color="auto"/>
                            <w:left w:val="none" w:sz="0" w:space="0" w:color="auto"/>
                            <w:bottom w:val="none" w:sz="0" w:space="0" w:color="auto"/>
                            <w:right w:val="none" w:sz="0" w:space="0" w:color="auto"/>
                          </w:divBdr>
                        </w:div>
                        <w:div w:id="1571232218">
                          <w:marLeft w:val="0"/>
                          <w:marRight w:val="0"/>
                          <w:marTop w:val="0"/>
                          <w:marBottom w:val="0"/>
                          <w:divBdr>
                            <w:top w:val="none" w:sz="0" w:space="0" w:color="auto"/>
                            <w:left w:val="none" w:sz="0" w:space="0" w:color="auto"/>
                            <w:bottom w:val="none" w:sz="0" w:space="0" w:color="auto"/>
                            <w:right w:val="none" w:sz="0" w:space="0" w:color="auto"/>
                          </w:divBdr>
                        </w:div>
                        <w:div w:id="1597129600">
                          <w:marLeft w:val="0"/>
                          <w:marRight w:val="0"/>
                          <w:marTop w:val="0"/>
                          <w:marBottom w:val="0"/>
                          <w:divBdr>
                            <w:top w:val="none" w:sz="0" w:space="0" w:color="auto"/>
                            <w:left w:val="none" w:sz="0" w:space="0" w:color="auto"/>
                            <w:bottom w:val="none" w:sz="0" w:space="0" w:color="auto"/>
                            <w:right w:val="none" w:sz="0" w:space="0" w:color="auto"/>
                          </w:divBdr>
                        </w:div>
                        <w:div w:id="1626232066">
                          <w:marLeft w:val="0"/>
                          <w:marRight w:val="0"/>
                          <w:marTop w:val="0"/>
                          <w:marBottom w:val="0"/>
                          <w:divBdr>
                            <w:top w:val="none" w:sz="0" w:space="0" w:color="auto"/>
                            <w:left w:val="none" w:sz="0" w:space="0" w:color="auto"/>
                            <w:bottom w:val="none" w:sz="0" w:space="0" w:color="auto"/>
                            <w:right w:val="none" w:sz="0" w:space="0" w:color="auto"/>
                          </w:divBdr>
                        </w:div>
                        <w:div w:id="1634948828">
                          <w:marLeft w:val="0"/>
                          <w:marRight w:val="0"/>
                          <w:marTop w:val="0"/>
                          <w:marBottom w:val="0"/>
                          <w:divBdr>
                            <w:top w:val="none" w:sz="0" w:space="0" w:color="auto"/>
                            <w:left w:val="none" w:sz="0" w:space="0" w:color="auto"/>
                            <w:bottom w:val="none" w:sz="0" w:space="0" w:color="auto"/>
                            <w:right w:val="none" w:sz="0" w:space="0" w:color="auto"/>
                          </w:divBdr>
                        </w:div>
                        <w:div w:id="1763456615">
                          <w:marLeft w:val="0"/>
                          <w:marRight w:val="0"/>
                          <w:marTop w:val="0"/>
                          <w:marBottom w:val="0"/>
                          <w:divBdr>
                            <w:top w:val="none" w:sz="0" w:space="0" w:color="auto"/>
                            <w:left w:val="none" w:sz="0" w:space="0" w:color="auto"/>
                            <w:bottom w:val="none" w:sz="0" w:space="0" w:color="auto"/>
                            <w:right w:val="none" w:sz="0" w:space="0" w:color="auto"/>
                          </w:divBdr>
                        </w:div>
                        <w:div w:id="1848522377">
                          <w:marLeft w:val="0"/>
                          <w:marRight w:val="0"/>
                          <w:marTop w:val="0"/>
                          <w:marBottom w:val="0"/>
                          <w:divBdr>
                            <w:top w:val="none" w:sz="0" w:space="0" w:color="auto"/>
                            <w:left w:val="none" w:sz="0" w:space="0" w:color="auto"/>
                            <w:bottom w:val="none" w:sz="0" w:space="0" w:color="auto"/>
                            <w:right w:val="none" w:sz="0" w:space="0" w:color="auto"/>
                          </w:divBdr>
                        </w:div>
                        <w:div w:id="1849440425">
                          <w:marLeft w:val="0"/>
                          <w:marRight w:val="0"/>
                          <w:marTop w:val="0"/>
                          <w:marBottom w:val="0"/>
                          <w:divBdr>
                            <w:top w:val="none" w:sz="0" w:space="0" w:color="auto"/>
                            <w:left w:val="none" w:sz="0" w:space="0" w:color="auto"/>
                            <w:bottom w:val="none" w:sz="0" w:space="0" w:color="auto"/>
                            <w:right w:val="none" w:sz="0" w:space="0" w:color="auto"/>
                          </w:divBdr>
                        </w:div>
                        <w:div w:id="1938555893">
                          <w:marLeft w:val="0"/>
                          <w:marRight w:val="0"/>
                          <w:marTop w:val="0"/>
                          <w:marBottom w:val="0"/>
                          <w:divBdr>
                            <w:top w:val="none" w:sz="0" w:space="0" w:color="auto"/>
                            <w:left w:val="none" w:sz="0" w:space="0" w:color="auto"/>
                            <w:bottom w:val="none" w:sz="0" w:space="0" w:color="auto"/>
                            <w:right w:val="none" w:sz="0" w:space="0" w:color="auto"/>
                          </w:divBdr>
                        </w:div>
                        <w:div w:id="20324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A5374-24D3-43CF-8BB2-0106DA70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Unger</dc:creator>
  <cp:keywords/>
  <cp:lastModifiedBy>Stephanie Allard</cp:lastModifiedBy>
  <cp:revision>54</cp:revision>
  <cp:lastPrinted>2018-11-05T17:17:00Z</cp:lastPrinted>
  <dcterms:created xsi:type="dcterms:W3CDTF">2018-11-01T18:29:00Z</dcterms:created>
  <dcterms:modified xsi:type="dcterms:W3CDTF">2018-11-06T20:09:00Z</dcterms:modified>
</cp:coreProperties>
</file>